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theme/themeOverride2.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charts/chart4.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Default Extension="xlsx" ContentType="application/vnd.openxmlformats-officedocument.spreadsheetml.sheet"/>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70B" w:rsidRPr="00BE108E" w:rsidRDefault="00DF04F1" w:rsidP="00B93BB7">
      <w:pPr>
        <w:pStyle w:val="1"/>
      </w:pPr>
      <w:r>
        <w:t>С</w:t>
      </w:r>
      <w:r w:rsidR="001833B1">
        <w:t xml:space="preserve">водный годовой доклад </w:t>
      </w:r>
      <w:r w:rsidR="004135B6" w:rsidRPr="00BE108E">
        <w:t xml:space="preserve">о ходе реализации и </w:t>
      </w:r>
      <w:r w:rsidR="001833B1">
        <w:t xml:space="preserve">об </w:t>
      </w:r>
      <w:r w:rsidR="004135B6" w:rsidRPr="00BE108E">
        <w:t xml:space="preserve">оценке эффективности государственных программ Мурманской области </w:t>
      </w:r>
      <w:r w:rsidR="004135B6" w:rsidRPr="009C4E83">
        <w:t>за 20</w:t>
      </w:r>
      <w:r w:rsidR="00535707">
        <w:t>20</w:t>
      </w:r>
      <w:r w:rsidR="004135B6" w:rsidRPr="009C4E83">
        <w:t xml:space="preserve"> год</w:t>
      </w:r>
    </w:p>
    <w:p w:rsidR="009C670B" w:rsidRPr="00BE108E" w:rsidRDefault="009C670B" w:rsidP="009C670B">
      <w:pPr>
        <w:pStyle w:val="330"/>
        <w:shd w:val="clear" w:color="auto" w:fill="auto"/>
        <w:spacing w:before="0" w:after="0" w:line="240" w:lineRule="auto"/>
        <w:ind w:right="-1"/>
        <w:rPr>
          <w:b w:val="0"/>
          <w:sz w:val="28"/>
          <w:szCs w:val="28"/>
        </w:rPr>
      </w:pPr>
    </w:p>
    <w:p w:rsidR="004135B6" w:rsidRPr="001F0870" w:rsidRDefault="007F64F7" w:rsidP="004135B6">
      <w:pPr>
        <w:rPr>
          <w:szCs w:val="28"/>
        </w:rPr>
      </w:pPr>
      <w:r w:rsidRPr="00162BAB">
        <w:rPr>
          <w:szCs w:val="28"/>
        </w:rPr>
        <w:t>Доклад</w:t>
      </w:r>
      <w:r w:rsidR="004135B6" w:rsidRPr="00162BAB">
        <w:rPr>
          <w:szCs w:val="28"/>
        </w:rPr>
        <w:t xml:space="preserve"> подготовлен в соответствии с Порядком разработки, реализации и оценки эффективности государственных программ Мурманской области</w:t>
      </w:r>
      <w:r w:rsidR="00D613B9">
        <w:rPr>
          <w:szCs w:val="28"/>
        </w:rPr>
        <w:t xml:space="preserve"> (далее </w:t>
      </w:r>
      <w:r w:rsidR="00D30883" w:rsidRPr="00162BAB">
        <w:rPr>
          <w:szCs w:val="28"/>
        </w:rPr>
        <w:t>– Порядок), утвержденным постановлением Правительства Мурманской области от 03.07.2013 № 369-ПП,</w:t>
      </w:r>
      <w:r w:rsidR="004135B6" w:rsidRPr="00162BAB">
        <w:rPr>
          <w:szCs w:val="28"/>
        </w:rPr>
        <w:t xml:space="preserve"> на основании сведений, представленных ответственными </w:t>
      </w:r>
      <w:r w:rsidR="004135B6" w:rsidRPr="001F0870">
        <w:rPr>
          <w:szCs w:val="28"/>
        </w:rPr>
        <w:t>исполнителями государственных программ Мурманской области.</w:t>
      </w:r>
    </w:p>
    <w:p w:rsidR="00D30883" w:rsidRPr="001F0870" w:rsidRDefault="00D30883" w:rsidP="004135B6">
      <w:pPr>
        <w:rPr>
          <w:szCs w:val="28"/>
        </w:rPr>
      </w:pPr>
      <w:r w:rsidRPr="001F0870">
        <w:rPr>
          <w:szCs w:val="28"/>
        </w:rPr>
        <w:t xml:space="preserve">В соответствии с пунктом 6.12 Порядка ответственные исполнители государственной программы с учетом информации, полученной от соисполнителей и участников государственной программы, </w:t>
      </w:r>
      <w:r w:rsidR="00B67A30" w:rsidRPr="001F0870">
        <w:rPr>
          <w:szCs w:val="28"/>
        </w:rPr>
        <w:t xml:space="preserve">ежегодно не позднее 20 марта года, следующего за отчетным, </w:t>
      </w:r>
      <w:r w:rsidRPr="001F0870">
        <w:rPr>
          <w:szCs w:val="28"/>
        </w:rPr>
        <w:t>формиру</w:t>
      </w:r>
      <w:r w:rsidR="00B67A30" w:rsidRPr="001F0870">
        <w:rPr>
          <w:szCs w:val="28"/>
        </w:rPr>
        <w:t>ю</w:t>
      </w:r>
      <w:r w:rsidRPr="001F0870">
        <w:rPr>
          <w:szCs w:val="28"/>
        </w:rPr>
        <w:t xml:space="preserve">т </w:t>
      </w:r>
      <w:r w:rsidR="00B67A30" w:rsidRPr="001F0870">
        <w:rPr>
          <w:szCs w:val="28"/>
        </w:rPr>
        <w:t xml:space="preserve">годовые отчеты о ходе реализации и оценке эффективности государственных программ </w:t>
      </w:r>
      <w:r w:rsidRPr="001F0870">
        <w:rPr>
          <w:szCs w:val="28"/>
        </w:rPr>
        <w:t>и направля</w:t>
      </w:r>
      <w:r w:rsidR="00B67A30" w:rsidRPr="001F0870">
        <w:rPr>
          <w:szCs w:val="28"/>
        </w:rPr>
        <w:t>ю</w:t>
      </w:r>
      <w:r w:rsidRPr="001F0870">
        <w:rPr>
          <w:szCs w:val="28"/>
        </w:rPr>
        <w:t xml:space="preserve">т </w:t>
      </w:r>
      <w:r w:rsidR="00B67A30" w:rsidRPr="001F0870">
        <w:rPr>
          <w:szCs w:val="28"/>
        </w:rPr>
        <w:t>их</w:t>
      </w:r>
      <w:r w:rsidRPr="001F0870">
        <w:rPr>
          <w:szCs w:val="28"/>
        </w:rPr>
        <w:t xml:space="preserve"> в Министерство экономического развития Мурманской области и Министерство финансов Мурманской области и размеща</w:t>
      </w:r>
      <w:r w:rsidR="00B67A30" w:rsidRPr="001F0870">
        <w:rPr>
          <w:szCs w:val="28"/>
        </w:rPr>
        <w:t>ю</w:t>
      </w:r>
      <w:r w:rsidRPr="001F0870">
        <w:rPr>
          <w:szCs w:val="28"/>
        </w:rPr>
        <w:t>т на сво</w:t>
      </w:r>
      <w:r w:rsidR="00B67A30" w:rsidRPr="001F0870">
        <w:rPr>
          <w:szCs w:val="28"/>
        </w:rPr>
        <w:t>их</w:t>
      </w:r>
      <w:r w:rsidRPr="001F0870">
        <w:rPr>
          <w:szCs w:val="28"/>
        </w:rPr>
        <w:t xml:space="preserve"> официальн</w:t>
      </w:r>
      <w:r w:rsidR="00B67A30" w:rsidRPr="001F0870">
        <w:rPr>
          <w:szCs w:val="28"/>
        </w:rPr>
        <w:t>ых</w:t>
      </w:r>
      <w:r w:rsidRPr="001F0870">
        <w:rPr>
          <w:szCs w:val="28"/>
        </w:rPr>
        <w:t xml:space="preserve"> сайт</w:t>
      </w:r>
      <w:r w:rsidR="00B67A30" w:rsidRPr="001F0870">
        <w:rPr>
          <w:szCs w:val="28"/>
        </w:rPr>
        <w:t>ах</w:t>
      </w:r>
      <w:r w:rsidRPr="001F0870">
        <w:rPr>
          <w:szCs w:val="28"/>
        </w:rPr>
        <w:t xml:space="preserve"> в сети Интернет</w:t>
      </w:r>
      <w:r w:rsidR="00B67A30" w:rsidRPr="001F0870">
        <w:rPr>
          <w:szCs w:val="28"/>
        </w:rPr>
        <w:t>.</w:t>
      </w:r>
    </w:p>
    <w:p w:rsidR="007A6231" w:rsidRPr="00E11944" w:rsidRDefault="007A6231" w:rsidP="00CD51CC">
      <w:pPr>
        <w:pStyle w:val="330"/>
        <w:shd w:val="clear" w:color="auto" w:fill="auto"/>
        <w:spacing w:before="0" w:after="0" w:line="240" w:lineRule="auto"/>
        <w:ind w:right="-1"/>
        <w:rPr>
          <w:rFonts w:ascii="Times New Roman" w:eastAsia="Times New Roman" w:hAnsi="Times New Roman"/>
          <w:bCs w:val="0"/>
          <w:sz w:val="28"/>
          <w:szCs w:val="22"/>
        </w:rPr>
      </w:pPr>
      <w:r w:rsidRPr="00E11944">
        <w:rPr>
          <w:rFonts w:ascii="Times New Roman" w:eastAsia="Times New Roman" w:hAnsi="Times New Roman"/>
          <w:bCs w:val="0"/>
          <w:sz w:val="28"/>
          <w:szCs w:val="22"/>
        </w:rPr>
        <w:t>1. Уровень достижения показателей</w:t>
      </w:r>
    </w:p>
    <w:p w:rsidR="00CD51CC" w:rsidRPr="00DD7DC8" w:rsidRDefault="00CD51CC" w:rsidP="00CD51CC">
      <w:pPr>
        <w:pStyle w:val="330"/>
        <w:shd w:val="clear" w:color="auto" w:fill="auto"/>
        <w:spacing w:before="0" w:after="0" w:line="240" w:lineRule="auto"/>
        <w:ind w:right="-1"/>
        <w:rPr>
          <w:rFonts w:ascii="Times New Roman" w:eastAsia="Times New Roman" w:hAnsi="Times New Roman"/>
          <w:b w:val="0"/>
          <w:bCs w:val="0"/>
          <w:sz w:val="28"/>
          <w:szCs w:val="22"/>
        </w:rPr>
      </w:pPr>
      <w:r w:rsidRPr="00E11944">
        <w:rPr>
          <w:rFonts w:ascii="Times New Roman" w:eastAsia="Times New Roman" w:hAnsi="Times New Roman"/>
          <w:b w:val="0"/>
          <w:bCs w:val="0"/>
          <w:sz w:val="28"/>
          <w:szCs w:val="22"/>
        </w:rPr>
        <w:t xml:space="preserve">Всего по </w:t>
      </w:r>
      <w:r w:rsidR="00326080" w:rsidRPr="00E11944">
        <w:rPr>
          <w:rFonts w:ascii="Times New Roman" w:eastAsia="Times New Roman" w:hAnsi="Times New Roman"/>
          <w:b w:val="0"/>
          <w:bCs w:val="0"/>
          <w:sz w:val="28"/>
          <w:szCs w:val="22"/>
        </w:rPr>
        <w:t>1</w:t>
      </w:r>
      <w:r w:rsidR="004A0D9B" w:rsidRPr="00E11944">
        <w:rPr>
          <w:rFonts w:ascii="Times New Roman" w:eastAsia="Times New Roman" w:hAnsi="Times New Roman"/>
          <w:b w:val="0"/>
          <w:bCs w:val="0"/>
          <w:sz w:val="28"/>
          <w:szCs w:val="22"/>
        </w:rPr>
        <w:t>6</w:t>
      </w:r>
      <w:r w:rsidR="00892136">
        <w:rPr>
          <w:rFonts w:ascii="Times New Roman" w:eastAsia="Times New Roman" w:hAnsi="Times New Roman"/>
          <w:b w:val="0"/>
          <w:bCs w:val="0"/>
          <w:sz w:val="28"/>
          <w:szCs w:val="22"/>
        </w:rPr>
        <w:t xml:space="preserve"> </w:t>
      </w:r>
      <w:r w:rsidRPr="00E11944">
        <w:rPr>
          <w:rFonts w:ascii="Times New Roman" w:eastAsia="Times New Roman" w:hAnsi="Times New Roman"/>
          <w:b w:val="0"/>
          <w:bCs w:val="0"/>
          <w:sz w:val="28"/>
          <w:szCs w:val="22"/>
        </w:rPr>
        <w:t>государственным программам в 20</w:t>
      </w:r>
      <w:r w:rsidR="00535707">
        <w:rPr>
          <w:rFonts w:ascii="Times New Roman" w:eastAsia="Times New Roman" w:hAnsi="Times New Roman"/>
          <w:b w:val="0"/>
          <w:bCs w:val="0"/>
          <w:sz w:val="28"/>
          <w:szCs w:val="22"/>
        </w:rPr>
        <w:t>20</w:t>
      </w:r>
      <w:r w:rsidR="00EB4F73" w:rsidRPr="00E11944">
        <w:rPr>
          <w:rFonts w:ascii="Times New Roman" w:eastAsia="Times New Roman" w:hAnsi="Times New Roman"/>
          <w:b w:val="0"/>
          <w:bCs w:val="0"/>
          <w:sz w:val="28"/>
          <w:szCs w:val="22"/>
        </w:rPr>
        <w:t xml:space="preserve"> году был</w:t>
      </w:r>
      <w:r w:rsidR="009569F2">
        <w:rPr>
          <w:rFonts w:ascii="Times New Roman" w:eastAsia="Times New Roman" w:hAnsi="Times New Roman"/>
          <w:b w:val="0"/>
          <w:bCs w:val="0"/>
          <w:sz w:val="28"/>
          <w:szCs w:val="22"/>
        </w:rPr>
        <w:t>и</w:t>
      </w:r>
      <w:r w:rsidR="00892136">
        <w:rPr>
          <w:rFonts w:ascii="Times New Roman" w:eastAsia="Times New Roman" w:hAnsi="Times New Roman"/>
          <w:b w:val="0"/>
          <w:bCs w:val="0"/>
          <w:sz w:val="28"/>
          <w:szCs w:val="22"/>
        </w:rPr>
        <w:t xml:space="preserve"> </w:t>
      </w:r>
      <w:r w:rsidR="00EB4F73" w:rsidRPr="00712D5E">
        <w:rPr>
          <w:rFonts w:ascii="Times New Roman" w:eastAsia="Times New Roman" w:hAnsi="Times New Roman"/>
          <w:b w:val="0"/>
          <w:bCs w:val="0"/>
          <w:sz w:val="28"/>
          <w:szCs w:val="22"/>
        </w:rPr>
        <w:t>предусмотрен</w:t>
      </w:r>
      <w:r w:rsidR="00712D5E">
        <w:rPr>
          <w:rFonts w:ascii="Times New Roman" w:eastAsia="Times New Roman" w:hAnsi="Times New Roman"/>
          <w:b w:val="0"/>
          <w:bCs w:val="0"/>
          <w:sz w:val="28"/>
          <w:szCs w:val="22"/>
        </w:rPr>
        <w:t>ы</w:t>
      </w:r>
      <w:r w:rsidRPr="00712D5E">
        <w:rPr>
          <w:rFonts w:ascii="Times New Roman" w:eastAsia="Times New Roman" w:hAnsi="Times New Roman"/>
          <w:b w:val="0"/>
          <w:bCs w:val="0"/>
          <w:sz w:val="28"/>
          <w:szCs w:val="22"/>
        </w:rPr>
        <w:t xml:space="preserve"> к достижению </w:t>
      </w:r>
      <w:r w:rsidR="00712D5E" w:rsidRPr="00712D5E">
        <w:rPr>
          <w:rFonts w:ascii="Times New Roman" w:eastAsia="Times New Roman" w:hAnsi="Times New Roman"/>
          <w:b w:val="0"/>
          <w:bCs w:val="0"/>
          <w:sz w:val="28"/>
          <w:szCs w:val="22"/>
        </w:rPr>
        <w:t>54</w:t>
      </w:r>
      <w:r w:rsidR="00413FB4">
        <w:rPr>
          <w:rFonts w:ascii="Times New Roman" w:eastAsia="Times New Roman" w:hAnsi="Times New Roman"/>
          <w:b w:val="0"/>
          <w:bCs w:val="0"/>
          <w:sz w:val="28"/>
          <w:szCs w:val="22"/>
        </w:rPr>
        <w:t>2</w:t>
      </w:r>
      <w:r w:rsidR="00892136">
        <w:rPr>
          <w:rFonts w:ascii="Times New Roman" w:eastAsia="Times New Roman" w:hAnsi="Times New Roman"/>
          <w:b w:val="0"/>
          <w:bCs w:val="0"/>
          <w:sz w:val="28"/>
          <w:szCs w:val="22"/>
        </w:rPr>
        <w:t xml:space="preserve"> </w:t>
      </w:r>
      <w:r w:rsidR="00EB4F73" w:rsidRPr="00712D5E">
        <w:rPr>
          <w:rFonts w:ascii="Times New Roman" w:eastAsia="Times New Roman" w:hAnsi="Times New Roman"/>
          <w:b w:val="0"/>
          <w:bCs w:val="0"/>
          <w:sz w:val="28"/>
          <w:szCs w:val="22"/>
        </w:rPr>
        <w:t>показател</w:t>
      </w:r>
      <w:r w:rsidR="00712D5E" w:rsidRPr="00712D5E">
        <w:rPr>
          <w:rFonts w:ascii="Times New Roman" w:eastAsia="Times New Roman" w:hAnsi="Times New Roman"/>
          <w:b w:val="0"/>
          <w:bCs w:val="0"/>
          <w:sz w:val="28"/>
          <w:szCs w:val="22"/>
        </w:rPr>
        <w:t>я</w:t>
      </w:r>
      <w:r w:rsidR="00892136">
        <w:rPr>
          <w:rFonts w:ascii="Times New Roman" w:eastAsia="Times New Roman" w:hAnsi="Times New Roman"/>
          <w:b w:val="0"/>
          <w:bCs w:val="0"/>
          <w:sz w:val="28"/>
          <w:szCs w:val="22"/>
        </w:rPr>
        <w:t xml:space="preserve"> </w:t>
      </w:r>
      <w:r w:rsidR="005B01DB" w:rsidRPr="00DD7DC8">
        <w:rPr>
          <w:rFonts w:ascii="Times New Roman" w:eastAsia="Times New Roman" w:hAnsi="Times New Roman"/>
          <w:b w:val="0"/>
          <w:bCs w:val="0"/>
          <w:sz w:val="28"/>
          <w:szCs w:val="22"/>
        </w:rPr>
        <w:t>(</w:t>
      </w:r>
      <w:r w:rsidR="00DD7DC8" w:rsidRPr="00DD7DC8">
        <w:rPr>
          <w:rFonts w:ascii="Times New Roman" w:eastAsia="Times New Roman" w:hAnsi="Times New Roman"/>
          <w:b w:val="0"/>
          <w:bCs w:val="0"/>
          <w:sz w:val="28"/>
          <w:szCs w:val="22"/>
        </w:rPr>
        <w:t xml:space="preserve">в 2019 году – 531, </w:t>
      </w:r>
      <w:r w:rsidR="00D613B9" w:rsidRPr="00DD7DC8">
        <w:rPr>
          <w:rFonts w:ascii="Times New Roman" w:eastAsia="Times New Roman" w:hAnsi="Times New Roman"/>
          <w:b w:val="0"/>
          <w:bCs w:val="0"/>
          <w:sz w:val="28"/>
          <w:szCs w:val="22"/>
        </w:rPr>
        <w:t xml:space="preserve">в 2018 году - 534, </w:t>
      </w:r>
      <w:r w:rsidR="009005FD" w:rsidRPr="00DD7DC8">
        <w:rPr>
          <w:rFonts w:ascii="Times New Roman" w:eastAsia="Times New Roman" w:hAnsi="Times New Roman"/>
          <w:b w:val="0"/>
          <w:bCs w:val="0"/>
          <w:sz w:val="28"/>
          <w:szCs w:val="22"/>
        </w:rPr>
        <w:t xml:space="preserve">в 2017 году – 542, </w:t>
      </w:r>
      <w:r w:rsidR="00D613B9" w:rsidRPr="00DD7DC8">
        <w:rPr>
          <w:rFonts w:ascii="Times New Roman" w:eastAsia="Times New Roman" w:hAnsi="Times New Roman"/>
          <w:b w:val="0"/>
          <w:bCs w:val="0"/>
          <w:sz w:val="28"/>
          <w:szCs w:val="22"/>
        </w:rPr>
        <w:t>в 2016 году – 515)</w:t>
      </w:r>
      <w:r w:rsidRPr="00DD7DC8">
        <w:rPr>
          <w:rFonts w:ascii="Times New Roman" w:eastAsia="Times New Roman" w:hAnsi="Times New Roman"/>
          <w:b w:val="0"/>
          <w:bCs w:val="0"/>
          <w:sz w:val="28"/>
          <w:szCs w:val="22"/>
        </w:rPr>
        <w:t>, из которых</w:t>
      </w:r>
      <w:r w:rsidR="00F0651A" w:rsidRPr="00DD7DC8">
        <w:rPr>
          <w:rFonts w:ascii="Times New Roman" w:eastAsia="Times New Roman" w:hAnsi="Times New Roman"/>
          <w:b w:val="0"/>
          <w:bCs w:val="0"/>
          <w:sz w:val="28"/>
          <w:szCs w:val="22"/>
        </w:rPr>
        <w:t xml:space="preserve"> (Рисунок </w:t>
      </w:r>
      <w:r w:rsidR="00326080" w:rsidRPr="00DD7DC8">
        <w:rPr>
          <w:rFonts w:ascii="Times New Roman" w:eastAsia="Times New Roman" w:hAnsi="Times New Roman"/>
          <w:b w:val="0"/>
          <w:bCs w:val="0"/>
          <w:sz w:val="28"/>
          <w:szCs w:val="22"/>
        </w:rPr>
        <w:t>1</w:t>
      </w:r>
      <w:r w:rsidR="00F0651A" w:rsidRPr="00DD7DC8">
        <w:rPr>
          <w:rFonts w:ascii="Times New Roman" w:eastAsia="Times New Roman" w:hAnsi="Times New Roman"/>
          <w:b w:val="0"/>
          <w:bCs w:val="0"/>
          <w:sz w:val="28"/>
          <w:szCs w:val="22"/>
        </w:rPr>
        <w:t>)</w:t>
      </w:r>
      <w:r w:rsidRPr="00DD7DC8">
        <w:rPr>
          <w:rFonts w:ascii="Times New Roman" w:eastAsia="Times New Roman" w:hAnsi="Times New Roman"/>
          <w:b w:val="0"/>
          <w:bCs w:val="0"/>
          <w:sz w:val="28"/>
          <w:szCs w:val="22"/>
        </w:rPr>
        <w:t>:</w:t>
      </w:r>
    </w:p>
    <w:p w:rsidR="009C4E83" w:rsidRPr="009569F2" w:rsidRDefault="009C4E83" w:rsidP="009C4E83">
      <w:pPr>
        <w:pStyle w:val="330"/>
        <w:numPr>
          <w:ilvl w:val="0"/>
          <w:numId w:val="1"/>
        </w:numPr>
        <w:shd w:val="clear" w:color="auto" w:fill="auto"/>
        <w:tabs>
          <w:tab w:val="left" w:pos="1276"/>
        </w:tabs>
        <w:spacing w:before="0" w:after="0" w:line="240" w:lineRule="auto"/>
        <w:ind w:left="0" w:right="-1" w:firstLine="709"/>
        <w:rPr>
          <w:rFonts w:ascii="Times New Roman" w:eastAsia="Times New Roman" w:hAnsi="Times New Roman"/>
          <w:b w:val="0"/>
          <w:bCs w:val="0"/>
          <w:sz w:val="28"/>
          <w:szCs w:val="22"/>
        </w:rPr>
      </w:pPr>
      <w:r w:rsidRPr="009569F2">
        <w:rPr>
          <w:rFonts w:ascii="Times New Roman" w:eastAsia="Times New Roman" w:hAnsi="Times New Roman"/>
          <w:b w:val="0"/>
          <w:bCs w:val="0"/>
          <w:sz w:val="28"/>
          <w:szCs w:val="22"/>
        </w:rPr>
        <w:t xml:space="preserve">имеют высокую степень достижения (от 99,5 до 150%) – </w:t>
      </w:r>
      <w:r w:rsidR="00413FB4">
        <w:rPr>
          <w:rFonts w:ascii="Times New Roman" w:eastAsia="Times New Roman" w:hAnsi="Times New Roman"/>
          <w:b w:val="0"/>
          <w:bCs w:val="0"/>
          <w:sz w:val="28"/>
          <w:szCs w:val="22"/>
        </w:rPr>
        <w:t>345</w:t>
      </w:r>
      <w:r w:rsidR="00D613B9" w:rsidRPr="009569F2">
        <w:rPr>
          <w:rFonts w:ascii="Times New Roman" w:eastAsia="Times New Roman" w:hAnsi="Times New Roman"/>
          <w:b w:val="0"/>
          <w:bCs w:val="0"/>
          <w:sz w:val="28"/>
          <w:szCs w:val="22"/>
        </w:rPr>
        <w:t xml:space="preserve"> (</w:t>
      </w:r>
      <w:r w:rsidR="009569F2">
        <w:rPr>
          <w:rFonts w:ascii="Times New Roman" w:eastAsia="Times New Roman" w:hAnsi="Times New Roman"/>
          <w:b w:val="0"/>
          <w:bCs w:val="0"/>
          <w:sz w:val="28"/>
          <w:szCs w:val="22"/>
        </w:rPr>
        <w:t>63,</w:t>
      </w:r>
      <w:r w:rsidR="00A85CDD">
        <w:rPr>
          <w:rFonts w:ascii="Times New Roman" w:eastAsia="Times New Roman" w:hAnsi="Times New Roman"/>
          <w:b w:val="0"/>
          <w:bCs w:val="0"/>
          <w:sz w:val="28"/>
          <w:szCs w:val="22"/>
        </w:rPr>
        <w:t>7</w:t>
      </w:r>
      <w:r w:rsidRPr="009569F2">
        <w:rPr>
          <w:rFonts w:ascii="Times New Roman" w:eastAsia="Times New Roman" w:hAnsi="Times New Roman"/>
          <w:b w:val="0"/>
          <w:bCs w:val="0"/>
          <w:sz w:val="28"/>
          <w:szCs w:val="22"/>
        </w:rPr>
        <w:t>% от общего числа показателей);</w:t>
      </w:r>
    </w:p>
    <w:p w:rsidR="009C4E83" w:rsidRPr="009569F2" w:rsidRDefault="009C4E83" w:rsidP="009C4E83">
      <w:pPr>
        <w:pStyle w:val="330"/>
        <w:numPr>
          <w:ilvl w:val="0"/>
          <w:numId w:val="1"/>
        </w:numPr>
        <w:shd w:val="clear" w:color="auto" w:fill="auto"/>
        <w:tabs>
          <w:tab w:val="left" w:pos="1276"/>
        </w:tabs>
        <w:spacing w:before="0" w:after="0" w:line="240" w:lineRule="auto"/>
        <w:ind w:left="0" w:right="-1" w:firstLine="709"/>
        <w:rPr>
          <w:rFonts w:ascii="Times New Roman" w:eastAsia="Times New Roman" w:hAnsi="Times New Roman"/>
          <w:b w:val="0"/>
          <w:bCs w:val="0"/>
          <w:sz w:val="28"/>
          <w:szCs w:val="22"/>
        </w:rPr>
      </w:pPr>
      <w:r w:rsidRPr="009569F2">
        <w:rPr>
          <w:rFonts w:ascii="Times New Roman" w:eastAsia="Times New Roman" w:hAnsi="Times New Roman"/>
          <w:b w:val="0"/>
          <w:bCs w:val="0"/>
          <w:sz w:val="28"/>
          <w:szCs w:val="22"/>
        </w:rPr>
        <w:t xml:space="preserve">значительно перевыполнены (более 150%) – </w:t>
      </w:r>
      <w:r w:rsidR="009569F2">
        <w:rPr>
          <w:rFonts w:ascii="Times New Roman" w:eastAsia="Times New Roman" w:hAnsi="Times New Roman"/>
          <w:b w:val="0"/>
          <w:bCs w:val="0"/>
          <w:sz w:val="28"/>
          <w:szCs w:val="22"/>
        </w:rPr>
        <w:t>4</w:t>
      </w:r>
      <w:r w:rsidR="00413FB4">
        <w:rPr>
          <w:rFonts w:ascii="Times New Roman" w:eastAsia="Times New Roman" w:hAnsi="Times New Roman"/>
          <w:b w:val="0"/>
          <w:bCs w:val="0"/>
          <w:sz w:val="28"/>
          <w:szCs w:val="22"/>
        </w:rPr>
        <w:t>5</w:t>
      </w:r>
      <w:r w:rsidRPr="009569F2">
        <w:rPr>
          <w:rFonts w:ascii="Times New Roman" w:eastAsia="Times New Roman" w:hAnsi="Times New Roman"/>
          <w:b w:val="0"/>
          <w:bCs w:val="0"/>
          <w:sz w:val="28"/>
          <w:szCs w:val="22"/>
        </w:rPr>
        <w:t xml:space="preserve"> (</w:t>
      </w:r>
      <w:r w:rsidR="009569F2">
        <w:rPr>
          <w:rFonts w:ascii="Times New Roman" w:eastAsia="Times New Roman" w:hAnsi="Times New Roman"/>
          <w:b w:val="0"/>
          <w:bCs w:val="0"/>
          <w:sz w:val="28"/>
          <w:szCs w:val="22"/>
        </w:rPr>
        <w:t>8,</w:t>
      </w:r>
      <w:r w:rsidR="00892136">
        <w:rPr>
          <w:rFonts w:ascii="Times New Roman" w:eastAsia="Times New Roman" w:hAnsi="Times New Roman"/>
          <w:b w:val="0"/>
          <w:bCs w:val="0"/>
          <w:sz w:val="28"/>
          <w:szCs w:val="22"/>
        </w:rPr>
        <w:t>3</w:t>
      </w:r>
      <w:r w:rsidRPr="009569F2">
        <w:rPr>
          <w:rFonts w:ascii="Times New Roman" w:eastAsia="Times New Roman" w:hAnsi="Times New Roman"/>
          <w:b w:val="0"/>
          <w:bCs w:val="0"/>
          <w:sz w:val="28"/>
          <w:szCs w:val="22"/>
        </w:rPr>
        <w:t>%);</w:t>
      </w:r>
    </w:p>
    <w:p w:rsidR="009C4E83" w:rsidRPr="009569F2" w:rsidRDefault="009C4E83" w:rsidP="009C4E83">
      <w:pPr>
        <w:pStyle w:val="330"/>
        <w:numPr>
          <w:ilvl w:val="0"/>
          <w:numId w:val="1"/>
        </w:numPr>
        <w:shd w:val="clear" w:color="auto" w:fill="auto"/>
        <w:tabs>
          <w:tab w:val="left" w:pos="1276"/>
        </w:tabs>
        <w:spacing w:before="0" w:after="0" w:line="240" w:lineRule="auto"/>
        <w:ind w:left="0" w:right="-1" w:firstLine="709"/>
        <w:rPr>
          <w:rFonts w:ascii="Times New Roman" w:eastAsia="Times New Roman" w:hAnsi="Times New Roman"/>
          <w:b w:val="0"/>
          <w:bCs w:val="0"/>
          <w:sz w:val="28"/>
          <w:szCs w:val="22"/>
        </w:rPr>
      </w:pPr>
      <w:r w:rsidRPr="009569F2">
        <w:rPr>
          <w:rFonts w:ascii="Times New Roman" w:eastAsia="Times New Roman" w:hAnsi="Times New Roman"/>
          <w:b w:val="0"/>
          <w:bCs w:val="0"/>
          <w:sz w:val="28"/>
          <w:szCs w:val="22"/>
        </w:rPr>
        <w:t xml:space="preserve">имеют среднюю степень достижения (от 85 до 99,5%) – </w:t>
      </w:r>
      <w:r w:rsidR="009569F2">
        <w:rPr>
          <w:rFonts w:ascii="Times New Roman" w:eastAsia="Times New Roman" w:hAnsi="Times New Roman"/>
          <w:b w:val="0"/>
          <w:bCs w:val="0"/>
          <w:sz w:val="28"/>
          <w:szCs w:val="22"/>
        </w:rPr>
        <w:t>5</w:t>
      </w:r>
      <w:r w:rsidR="00413FB4">
        <w:rPr>
          <w:rFonts w:ascii="Times New Roman" w:eastAsia="Times New Roman" w:hAnsi="Times New Roman"/>
          <w:b w:val="0"/>
          <w:bCs w:val="0"/>
          <w:sz w:val="28"/>
          <w:szCs w:val="22"/>
        </w:rPr>
        <w:t>0</w:t>
      </w:r>
      <w:r w:rsidR="00892136">
        <w:rPr>
          <w:rFonts w:ascii="Times New Roman" w:eastAsia="Times New Roman" w:hAnsi="Times New Roman"/>
          <w:b w:val="0"/>
          <w:bCs w:val="0"/>
          <w:sz w:val="28"/>
          <w:szCs w:val="22"/>
        </w:rPr>
        <w:t xml:space="preserve"> </w:t>
      </w:r>
      <w:r w:rsidRPr="009569F2">
        <w:rPr>
          <w:rFonts w:ascii="Times New Roman" w:eastAsia="Times New Roman" w:hAnsi="Times New Roman"/>
          <w:b w:val="0"/>
          <w:bCs w:val="0"/>
          <w:sz w:val="28"/>
          <w:szCs w:val="22"/>
        </w:rPr>
        <w:t>(</w:t>
      </w:r>
      <w:r w:rsidR="009569F2">
        <w:rPr>
          <w:rFonts w:ascii="Times New Roman" w:eastAsia="Times New Roman" w:hAnsi="Times New Roman"/>
          <w:b w:val="0"/>
          <w:bCs w:val="0"/>
          <w:sz w:val="28"/>
          <w:szCs w:val="22"/>
        </w:rPr>
        <w:t>9,</w:t>
      </w:r>
      <w:r w:rsidR="00892136">
        <w:rPr>
          <w:rFonts w:ascii="Times New Roman" w:eastAsia="Times New Roman" w:hAnsi="Times New Roman"/>
          <w:b w:val="0"/>
          <w:bCs w:val="0"/>
          <w:sz w:val="28"/>
          <w:szCs w:val="22"/>
        </w:rPr>
        <w:t>2</w:t>
      </w:r>
      <w:r w:rsidRPr="009569F2">
        <w:rPr>
          <w:rFonts w:ascii="Times New Roman" w:eastAsia="Times New Roman" w:hAnsi="Times New Roman"/>
          <w:b w:val="0"/>
          <w:bCs w:val="0"/>
          <w:sz w:val="28"/>
          <w:szCs w:val="22"/>
        </w:rPr>
        <w:t>%);</w:t>
      </w:r>
    </w:p>
    <w:p w:rsidR="009C4E83" w:rsidRPr="009569F2" w:rsidRDefault="009C4E83" w:rsidP="009C4E83">
      <w:pPr>
        <w:pStyle w:val="330"/>
        <w:numPr>
          <w:ilvl w:val="0"/>
          <w:numId w:val="1"/>
        </w:numPr>
        <w:shd w:val="clear" w:color="auto" w:fill="auto"/>
        <w:tabs>
          <w:tab w:val="left" w:pos="1276"/>
        </w:tabs>
        <w:spacing w:before="0" w:after="0" w:line="240" w:lineRule="auto"/>
        <w:ind w:left="0" w:right="-1" w:firstLine="709"/>
        <w:rPr>
          <w:rFonts w:ascii="Times New Roman" w:eastAsia="Times New Roman" w:hAnsi="Times New Roman"/>
          <w:b w:val="0"/>
          <w:bCs w:val="0"/>
          <w:sz w:val="28"/>
          <w:szCs w:val="22"/>
        </w:rPr>
      </w:pPr>
      <w:r w:rsidRPr="009569F2">
        <w:rPr>
          <w:rFonts w:ascii="Times New Roman" w:eastAsia="Times New Roman" w:hAnsi="Times New Roman"/>
          <w:b w:val="0"/>
          <w:bCs w:val="0"/>
          <w:sz w:val="28"/>
          <w:szCs w:val="22"/>
        </w:rPr>
        <w:t xml:space="preserve">имеют низкую степень достижения (ниже 85%) – </w:t>
      </w:r>
      <w:r w:rsidR="009569F2">
        <w:rPr>
          <w:rFonts w:ascii="Times New Roman" w:eastAsia="Times New Roman" w:hAnsi="Times New Roman"/>
          <w:b w:val="0"/>
          <w:bCs w:val="0"/>
          <w:sz w:val="28"/>
          <w:szCs w:val="22"/>
        </w:rPr>
        <w:t>65</w:t>
      </w:r>
      <w:r w:rsidRPr="009569F2">
        <w:rPr>
          <w:rFonts w:ascii="Times New Roman" w:eastAsia="Times New Roman" w:hAnsi="Times New Roman"/>
          <w:b w:val="0"/>
          <w:bCs w:val="0"/>
          <w:sz w:val="28"/>
          <w:szCs w:val="22"/>
        </w:rPr>
        <w:t xml:space="preserve"> (</w:t>
      </w:r>
      <w:r w:rsidR="009569F2">
        <w:rPr>
          <w:rFonts w:ascii="Times New Roman" w:eastAsia="Times New Roman" w:hAnsi="Times New Roman"/>
          <w:b w:val="0"/>
          <w:bCs w:val="0"/>
          <w:sz w:val="28"/>
          <w:szCs w:val="22"/>
        </w:rPr>
        <w:t>12</w:t>
      </w:r>
      <w:r w:rsidRPr="009569F2">
        <w:rPr>
          <w:rFonts w:ascii="Times New Roman" w:eastAsia="Times New Roman" w:hAnsi="Times New Roman"/>
          <w:b w:val="0"/>
          <w:bCs w:val="0"/>
          <w:sz w:val="28"/>
          <w:szCs w:val="22"/>
        </w:rPr>
        <w:t>%).</w:t>
      </w:r>
    </w:p>
    <w:p w:rsidR="00CD51CC" w:rsidRPr="00E11944" w:rsidRDefault="00CD51CC" w:rsidP="005A5A01">
      <w:r w:rsidRPr="009569F2">
        <w:t xml:space="preserve">По причине отсутствия </w:t>
      </w:r>
      <w:r w:rsidR="004437A7" w:rsidRPr="009569F2">
        <w:t xml:space="preserve">фактических значений </w:t>
      </w:r>
      <w:r w:rsidRPr="009569F2">
        <w:t>на момент подготовки</w:t>
      </w:r>
      <w:r w:rsidR="00063508">
        <w:t xml:space="preserve"> </w:t>
      </w:r>
      <w:r w:rsidR="005A0880" w:rsidRPr="00DD7DC8">
        <w:t>доклада</w:t>
      </w:r>
      <w:r w:rsidRPr="00DD7DC8">
        <w:t xml:space="preserve"> по </w:t>
      </w:r>
      <w:r w:rsidR="009569F2">
        <w:t xml:space="preserve">37 </w:t>
      </w:r>
      <w:r w:rsidR="00812A7F" w:rsidRPr="00DD7DC8">
        <w:t>показател</w:t>
      </w:r>
      <w:r w:rsidR="00634122" w:rsidRPr="00DD7DC8">
        <w:t>ям</w:t>
      </w:r>
      <w:r w:rsidR="00063508">
        <w:t xml:space="preserve"> </w:t>
      </w:r>
      <w:r w:rsidRPr="00DD7DC8">
        <w:t xml:space="preserve">указаны </w:t>
      </w:r>
      <w:r w:rsidR="00812A7F" w:rsidRPr="00DD7DC8">
        <w:t xml:space="preserve">предварительные или </w:t>
      </w:r>
      <w:r w:rsidR="00643F33" w:rsidRPr="00DD7DC8">
        <w:t>оценочные данные</w:t>
      </w:r>
      <w:r w:rsidR="00FD0612" w:rsidRPr="00DD7DC8">
        <w:t xml:space="preserve"> (не участвуют в оценке)</w:t>
      </w:r>
      <w:r w:rsidR="00643F33" w:rsidRPr="00DD7DC8">
        <w:t>.</w:t>
      </w:r>
    </w:p>
    <w:p w:rsidR="008D2A7E" w:rsidRPr="00DD7DC8" w:rsidRDefault="002F7E46" w:rsidP="008D2A7E">
      <w:r w:rsidRPr="00DD7DC8">
        <w:t xml:space="preserve">Основными причинами низкой или средней степени достижения показателей являются </w:t>
      </w:r>
      <w:r w:rsidR="00DD7DC8" w:rsidRPr="00DD7DC8">
        <w:t>ограничения, вызванны</w:t>
      </w:r>
      <w:r w:rsidR="00733E00">
        <w:t>е</w:t>
      </w:r>
      <w:r w:rsidR="00DD7DC8" w:rsidRPr="00DD7DC8">
        <w:t xml:space="preserve"> угрозой распространения на территории Мурманской области новой коронавирусной инфекции (Covid-19), </w:t>
      </w:r>
      <w:r w:rsidRPr="00DD7DC8">
        <w:t xml:space="preserve">невыполнение в установленные сроки соответствующих мероприятий, </w:t>
      </w:r>
      <w:r w:rsidR="00983C9D" w:rsidRPr="00DD7DC8">
        <w:t xml:space="preserve">изменение параметров, используемых в расчете показателей государственных программ, влияние на которые в рамках государственных программ отсутствует или </w:t>
      </w:r>
      <w:r w:rsidR="00733E00">
        <w:t>не значительны</w:t>
      </w:r>
      <w:r w:rsidR="00983C9D" w:rsidRPr="00DD7DC8">
        <w:t xml:space="preserve"> (внешние факторы), </w:t>
      </w:r>
      <w:r w:rsidR="008D2A7E" w:rsidRPr="00DD7DC8">
        <w:t>некорректн</w:t>
      </w:r>
      <w:r w:rsidRPr="00DD7DC8">
        <w:t>ое</w:t>
      </w:r>
      <w:r w:rsidR="008D2A7E" w:rsidRPr="00DD7DC8">
        <w:t xml:space="preserve"> установление плановых значений</w:t>
      </w:r>
      <w:r w:rsidRPr="00DD7DC8">
        <w:t xml:space="preserve"> отдельных показателей</w:t>
      </w:r>
      <w:r w:rsidR="008D2A7E" w:rsidRPr="00DD7DC8">
        <w:t xml:space="preserve">. </w:t>
      </w:r>
    </w:p>
    <w:p w:rsidR="008D2A7E" w:rsidRPr="00E11944" w:rsidRDefault="008D2A7E" w:rsidP="008D2A7E">
      <w:r w:rsidRPr="00DD7DC8">
        <w:t>Сведения о достижении значений показателей государственных программ Мурманской области за 20</w:t>
      </w:r>
      <w:r w:rsidR="00DD7DC8" w:rsidRPr="00DD7DC8">
        <w:t>20</w:t>
      </w:r>
      <w:r w:rsidRPr="00DD7DC8">
        <w:t xml:space="preserve"> год приведены в приложении </w:t>
      </w:r>
      <w:r w:rsidR="00326080" w:rsidRPr="00DD7DC8">
        <w:t>№1</w:t>
      </w:r>
      <w:r w:rsidRPr="00DD7DC8">
        <w:t>.</w:t>
      </w:r>
    </w:p>
    <w:p w:rsidR="00422948" w:rsidRPr="00E11944" w:rsidRDefault="00422948" w:rsidP="008D2A7E"/>
    <w:p w:rsidR="009C4E83" w:rsidRPr="00E11944" w:rsidRDefault="00413FB4" w:rsidP="009C4E83">
      <w:pPr>
        <w:ind w:firstLine="0"/>
      </w:pPr>
      <w:r w:rsidRPr="00413FB4">
        <w:rPr>
          <w:noProof/>
        </w:rPr>
        <w:lastRenderedPageBreak/>
        <w:drawing>
          <wp:inline distT="0" distB="0" distL="0" distR="0">
            <wp:extent cx="6120130" cy="3023113"/>
            <wp:effectExtent l="19050" t="0" r="13970" b="5837"/>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EB4F73" w:rsidRPr="00E11944" w:rsidRDefault="00EB4F73" w:rsidP="006D4287">
      <w:pPr>
        <w:ind w:firstLine="0"/>
        <w:jc w:val="center"/>
        <w:rPr>
          <w:sz w:val="24"/>
          <w:szCs w:val="28"/>
        </w:rPr>
      </w:pPr>
    </w:p>
    <w:p w:rsidR="00F0651A" w:rsidRPr="00E11944" w:rsidRDefault="00F0651A" w:rsidP="006D4287">
      <w:pPr>
        <w:ind w:firstLine="0"/>
        <w:jc w:val="center"/>
        <w:rPr>
          <w:sz w:val="24"/>
          <w:szCs w:val="28"/>
        </w:rPr>
      </w:pPr>
      <w:r w:rsidRPr="00E11944">
        <w:rPr>
          <w:sz w:val="24"/>
          <w:szCs w:val="28"/>
        </w:rPr>
        <w:t xml:space="preserve">Рисунок </w:t>
      </w:r>
      <w:r w:rsidR="00326080" w:rsidRPr="00E11944">
        <w:rPr>
          <w:sz w:val="24"/>
          <w:szCs w:val="28"/>
        </w:rPr>
        <w:t>1</w:t>
      </w:r>
    </w:p>
    <w:p w:rsidR="00B13C05" w:rsidRPr="00E11944" w:rsidRDefault="00B13C05" w:rsidP="00F0651A">
      <w:pPr>
        <w:jc w:val="center"/>
        <w:rPr>
          <w:sz w:val="24"/>
          <w:szCs w:val="28"/>
        </w:rPr>
      </w:pPr>
    </w:p>
    <w:p w:rsidR="003443E8" w:rsidRPr="00E11944" w:rsidRDefault="009C4E83" w:rsidP="009C7FE5">
      <w:r w:rsidRPr="00712D5E">
        <w:t>В результате анализа динамики значений показателей по сравнению с 201</w:t>
      </w:r>
      <w:r w:rsidR="00712D5E">
        <w:t>9</w:t>
      </w:r>
      <w:r w:rsidRPr="00712D5E">
        <w:t xml:space="preserve"> годом </w:t>
      </w:r>
      <w:r w:rsidR="001303A7" w:rsidRPr="00712D5E">
        <w:t>установлено, что</w:t>
      </w:r>
      <w:r w:rsidR="00785096" w:rsidRPr="00712D5E">
        <w:t xml:space="preserve"> только по </w:t>
      </w:r>
      <w:r w:rsidR="00712D5E" w:rsidRPr="00712D5E">
        <w:t>180</w:t>
      </w:r>
      <w:r w:rsidRPr="00712D5E">
        <w:t xml:space="preserve"> показателям отм</w:t>
      </w:r>
      <w:r w:rsidR="00785096" w:rsidRPr="00712D5E">
        <w:t>ечается улучшение значен</w:t>
      </w:r>
      <w:r w:rsidR="00752FA1" w:rsidRPr="00712D5E">
        <w:t>ий (</w:t>
      </w:r>
      <w:r w:rsidR="00712D5E" w:rsidRPr="00712D5E">
        <w:t>37,7</w:t>
      </w:r>
      <w:r w:rsidR="00785096" w:rsidRPr="00712D5E">
        <w:t xml:space="preserve">% из </w:t>
      </w:r>
      <w:r w:rsidR="00712D5E" w:rsidRPr="00712D5E">
        <w:t>478</w:t>
      </w:r>
      <w:r w:rsidR="00785096" w:rsidRPr="00712D5E">
        <w:t xml:space="preserve"> показателей</w:t>
      </w:r>
      <w:r w:rsidRPr="00712D5E">
        <w:t>, по кот</w:t>
      </w:r>
      <w:r w:rsidR="00785096" w:rsidRPr="00712D5E">
        <w:t>орым оценивается динамика), у 15</w:t>
      </w:r>
      <w:r w:rsidR="0061077A" w:rsidRPr="00712D5E">
        <w:t>4</w:t>
      </w:r>
      <w:r w:rsidR="00785096" w:rsidRPr="00712D5E">
        <w:t xml:space="preserve"> показателей (</w:t>
      </w:r>
      <w:r w:rsidR="00712D5E" w:rsidRPr="00712D5E">
        <w:t>32,2</w:t>
      </w:r>
      <w:r w:rsidRPr="00712D5E">
        <w:t>%) зна</w:t>
      </w:r>
      <w:r w:rsidR="00785096" w:rsidRPr="00712D5E">
        <w:t>чения сохранились на уровне 201</w:t>
      </w:r>
      <w:r w:rsidR="00712D5E" w:rsidRPr="00712D5E">
        <w:t>9</w:t>
      </w:r>
      <w:r w:rsidRPr="00712D5E">
        <w:t xml:space="preserve"> года (в</w:t>
      </w:r>
      <w:r w:rsidR="00785096" w:rsidRPr="00712D5E">
        <w:t xml:space="preserve"> диапазоне от 99 до 101%), по </w:t>
      </w:r>
      <w:r w:rsidR="00712D5E" w:rsidRPr="00712D5E">
        <w:t>144</w:t>
      </w:r>
      <w:r w:rsidR="008861BF" w:rsidRPr="00712D5E">
        <w:t xml:space="preserve"> показателям</w:t>
      </w:r>
      <w:r w:rsidR="00785096" w:rsidRPr="00712D5E">
        <w:t xml:space="preserve"> (</w:t>
      </w:r>
      <w:r w:rsidR="00712D5E" w:rsidRPr="00712D5E">
        <w:t>30,1</w:t>
      </w:r>
      <w:r w:rsidRPr="00712D5E">
        <w:t xml:space="preserve">%) значения </w:t>
      </w:r>
      <w:r w:rsidR="00583A54" w:rsidRPr="00712D5E">
        <w:t>ухудшились</w:t>
      </w:r>
      <w:r w:rsidR="00AE727B" w:rsidRPr="00712D5E">
        <w:t xml:space="preserve"> (Рисунок </w:t>
      </w:r>
      <w:r w:rsidR="00326080" w:rsidRPr="00712D5E">
        <w:t>2</w:t>
      </w:r>
      <w:r w:rsidR="00AE727B" w:rsidRPr="00712D5E">
        <w:t>)</w:t>
      </w:r>
      <w:r w:rsidR="00583A54" w:rsidRPr="00712D5E">
        <w:t>.</w:t>
      </w:r>
    </w:p>
    <w:p w:rsidR="00BB68C9" w:rsidRPr="00E11944" w:rsidRDefault="00BB68C9" w:rsidP="009C7FE5"/>
    <w:p w:rsidR="00422948" w:rsidRPr="00E11944" w:rsidRDefault="009569F2" w:rsidP="001B2DE8">
      <w:pPr>
        <w:ind w:firstLine="0"/>
        <w:jc w:val="center"/>
      </w:pPr>
      <w:r w:rsidRPr="009569F2">
        <w:rPr>
          <w:noProof/>
        </w:rPr>
        <w:drawing>
          <wp:inline distT="0" distB="0" distL="0" distR="0">
            <wp:extent cx="6120130" cy="2698441"/>
            <wp:effectExtent l="19050" t="0" r="13970" b="6659"/>
            <wp:docPr id="9"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E727B" w:rsidRPr="00E11944" w:rsidRDefault="00AE727B" w:rsidP="00AE727B">
      <w:pPr>
        <w:ind w:firstLine="0"/>
        <w:jc w:val="center"/>
        <w:rPr>
          <w:sz w:val="24"/>
          <w:szCs w:val="28"/>
        </w:rPr>
      </w:pPr>
      <w:r w:rsidRPr="00E11944">
        <w:rPr>
          <w:sz w:val="24"/>
          <w:szCs w:val="28"/>
        </w:rPr>
        <w:t xml:space="preserve">Рисунок </w:t>
      </w:r>
      <w:r w:rsidR="00E63BF7" w:rsidRPr="00E11944">
        <w:rPr>
          <w:sz w:val="24"/>
          <w:szCs w:val="28"/>
        </w:rPr>
        <w:t>2</w:t>
      </w:r>
    </w:p>
    <w:p w:rsidR="00591F97" w:rsidRPr="00E11944" w:rsidRDefault="00591F97" w:rsidP="009C7FE5">
      <w:pPr>
        <w:rPr>
          <w:b/>
        </w:rPr>
      </w:pPr>
    </w:p>
    <w:p w:rsidR="001F0870" w:rsidRPr="00E11944" w:rsidRDefault="001F0870">
      <w:pPr>
        <w:ind w:firstLine="0"/>
        <w:jc w:val="left"/>
        <w:rPr>
          <w:b/>
        </w:rPr>
      </w:pPr>
      <w:r w:rsidRPr="00E11944">
        <w:rPr>
          <w:b/>
        </w:rPr>
        <w:br w:type="page"/>
      </w:r>
    </w:p>
    <w:p w:rsidR="00AE727B" w:rsidRPr="00E11944" w:rsidRDefault="007A6231" w:rsidP="009C7FE5">
      <w:pPr>
        <w:rPr>
          <w:b/>
        </w:rPr>
      </w:pPr>
      <w:r w:rsidRPr="00E11944">
        <w:rPr>
          <w:b/>
        </w:rPr>
        <w:lastRenderedPageBreak/>
        <w:t>2. Реализация мероприятий</w:t>
      </w:r>
    </w:p>
    <w:p w:rsidR="003F33E7" w:rsidRPr="00E11944" w:rsidRDefault="003F33E7" w:rsidP="003F33E7">
      <w:pPr>
        <w:rPr>
          <w:szCs w:val="28"/>
        </w:rPr>
      </w:pPr>
      <w:r w:rsidRPr="00413FB4">
        <w:rPr>
          <w:szCs w:val="28"/>
        </w:rPr>
        <w:t>По всем государственным программам в 20</w:t>
      </w:r>
      <w:r w:rsidR="00535707" w:rsidRPr="00413FB4">
        <w:rPr>
          <w:szCs w:val="28"/>
        </w:rPr>
        <w:t>20</w:t>
      </w:r>
      <w:r w:rsidRPr="00413FB4">
        <w:rPr>
          <w:szCs w:val="28"/>
        </w:rPr>
        <w:t xml:space="preserve"> году планировалось выполнить </w:t>
      </w:r>
      <w:r w:rsidR="00413FB4" w:rsidRPr="00413FB4">
        <w:rPr>
          <w:szCs w:val="28"/>
        </w:rPr>
        <w:t>1224</w:t>
      </w:r>
      <w:r w:rsidRPr="00413FB4">
        <w:rPr>
          <w:szCs w:val="28"/>
        </w:rPr>
        <w:t xml:space="preserve"> мероприяти</w:t>
      </w:r>
      <w:r w:rsidR="00733E00">
        <w:rPr>
          <w:szCs w:val="28"/>
        </w:rPr>
        <w:t>я</w:t>
      </w:r>
      <w:r w:rsidRPr="00413FB4">
        <w:rPr>
          <w:szCs w:val="28"/>
        </w:rPr>
        <w:t xml:space="preserve">, из них в полном объеме выполнено </w:t>
      </w:r>
      <w:r w:rsidR="00413FB4" w:rsidRPr="00413FB4">
        <w:rPr>
          <w:szCs w:val="28"/>
        </w:rPr>
        <w:t>873</w:t>
      </w:r>
      <w:r w:rsidRPr="00413FB4">
        <w:rPr>
          <w:szCs w:val="28"/>
        </w:rPr>
        <w:t>мероприяти</w:t>
      </w:r>
      <w:r w:rsidR="00733E00">
        <w:rPr>
          <w:szCs w:val="28"/>
        </w:rPr>
        <w:t>я</w:t>
      </w:r>
      <w:r w:rsidRPr="00413FB4">
        <w:rPr>
          <w:szCs w:val="28"/>
        </w:rPr>
        <w:t xml:space="preserve"> (</w:t>
      </w:r>
      <w:r w:rsidR="00413FB4" w:rsidRPr="00413FB4">
        <w:rPr>
          <w:szCs w:val="28"/>
        </w:rPr>
        <w:t>71,3</w:t>
      </w:r>
      <w:r w:rsidRPr="00413FB4">
        <w:rPr>
          <w:szCs w:val="28"/>
        </w:rPr>
        <w:t xml:space="preserve">%), частично – </w:t>
      </w:r>
      <w:r w:rsidR="00413FB4" w:rsidRPr="00413FB4">
        <w:rPr>
          <w:szCs w:val="28"/>
        </w:rPr>
        <w:t>239</w:t>
      </w:r>
      <w:r w:rsidR="00E362CD" w:rsidRPr="00413FB4">
        <w:rPr>
          <w:szCs w:val="28"/>
        </w:rPr>
        <w:t xml:space="preserve"> (</w:t>
      </w:r>
      <w:r w:rsidR="00413FB4" w:rsidRPr="00413FB4">
        <w:rPr>
          <w:szCs w:val="28"/>
        </w:rPr>
        <w:t>19,5</w:t>
      </w:r>
      <w:r w:rsidR="00093198" w:rsidRPr="00413FB4">
        <w:rPr>
          <w:szCs w:val="28"/>
        </w:rPr>
        <w:t xml:space="preserve">%), не выполнено – </w:t>
      </w:r>
      <w:r w:rsidR="00413FB4" w:rsidRPr="00413FB4">
        <w:rPr>
          <w:szCs w:val="28"/>
        </w:rPr>
        <w:t>112</w:t>
      </w:r>
      <w:r w:rsidRPr="00413FB4">
        <w:rPr>
          <w:szCs w:val="28"/>
        </w:rPr>
        <w:t xml:space="preserve"> (</w:t>
      </w:r>
      <w:r w:rsidR="00413FB4" w:rsidRPr="00413FB4">
        <w:rPr>
          <w:szCs w:val="28"/>
        </w:rPr>
        <w:t>9,2</w:t>
      </w:r>
      <w:r w:rsidRPr="00413FB4">
        <w:rPr>
          <w:szCs w:val="28"/>
        </w:rPr>
        <w:t>%).</w:t>
      </w:r>
    </w:p>
    <w:p w:rsidR="00AA3C3C" w:rsidRPr="00413FB4" w:rsidRDefault="003F33E7" w:rsidP="003F33E7">
      <w:pPr>
        <w:rPr>
          <w:bCs/>
          <w:color w:val="FF0000"/>
          <w:szCs w:val="28"/>
        </w:rPr>
      </w:pPr>
      <w:r w:rsidRPr="00413FB4">
        <w:rPr>
          <w:bCs/>
          <w:szCs w:val="28"/>
        </w:rPr>
        <w:t>Основными причинами выполнения мероприятий не в полном объеме и (или) с нарушением плановых сроков являются:</w:t>
      </w:r>
    </w:p>
    <w:p w:rsidR="000D06DE" w:rsidRDefault="000D06DE" w:rsidP="003F33E7">
      <w:pPr>
        <w:rPr>
          <w:bCs/>
          <w:szCs w:val="28"/>
        </w:rPr>
      </w:pPr>
      <w:r>
        <w:rPr>
          <w:bCs/>
          <w:szCs w:val="28"/>
        </w:rPr>
        <w:t xml:space="preserve">- </w:t>
      </w:r>
      <w:r w:rsidRPr="00DD7DC8">
        <w:t>ограничения, вызванны</w:t>
      </w:r>
      <w:r w:rsidR="0041268A">
        <w:t>е</w:t>
      </w:r>
      <w:r w:rsidRPr="00DD7DC8">
        <w:t xml:space="preserve"> угрозой распространения на территории Мурманской области новой коронавирусной инфекции (Covid-19)</w:t>
      </w:r>
      <w:r>
        <w:t xml:space="preserve"> (часть мероприятий </w:t>
      </w:r>
      <w:r w:rsidR="00743710">
        <w:t xml:space="preserve">была приостановлена и (или) </w:t>
      </w:r>
      <w:r>
        <w:t>перенесена на 2021 год);</w:t>
      </w:r>
    </w:p>
    <w:p w:rsidR="003F33E7" w:rsidRPr="000D06DE" w:rsidRDefault="003F33E7" w:rsidP="003F33E7">
      <w:pPr>
        <w:rPr>
          <w:bCs/>
          <w:szCs w:val="28"/>
        </w:rPr>
      </w:pPr>
      <w:r w:rsidRPr="000D06DE">
        <w:rPr>
          <w:bCs/>
          <w:szCs w:val="28"/>
        </w:rPr>
        <w:t>- нарушения исполнителями (подрядчиками)</w:t>
      </w:r>
      <w:r w:rsidR="00256E68" w:rsidRPr="000D06DE">
        <w:rPr>
          <w:bCs/>
          <w:szCs w:val="28"/>
        </w:rPr>
        <w:t xml:space="preserve"> условий заключенных контрактов, </w:t>
      </w:r>
      <w:r w:rsidR="005E51B9" w:rsidRPr="000D06DE">
        <w:rPr>
          <w:bCs/>
          <w:szCs w:val="28"/>
        </w:rPr>
        <w:t>отсутствие инвесторов</w:t>
      </w:r>
      <w:r w:rsidR="00256E68" w:rsidRPr="000D06DE">
        <w:rPr>
          <w:bCs/>
          <w:szCs w:val="28"/>
        </w:rPr>
        <w:t>;</w:t>
      </w:r>
    </w:p>
    <w:p w:rsidR="003F33E7" w:rsidRPr="000D06DE" w:rsidRDefault="003F33E7" w:rsidP="003F33E7">
      <w:pPr>
        <w:rPr>
          <w:bCs/>
          <w:szCs w:val="28"/>
        </w:rPr>
      </w:pPr>
      <w:r w:rsidRPr="000D06DE">
        <w:rPr>
          <w:bCs/>
          <w:szCs w:val="28"/>
        </w:rPr>
        <w:t>-</w:t>
      </w:r>
      <w:r w:rsidR="00645C72" w:rsidRPr="000D06DE">
        <w:rPr>
          <w:bCs/>
          <w:szCs w:val="28"/>
        </w:rPr>
        <w:t> </w:t>
      </w:r>
      <w:r w:rsidRPr="000D06DE">
        <w:rPr>
          <w:bCs/>
          <w:szCs w:val="28"/>
        </w:rPr>
        <w:t>заявительный характер</w:t>
      </w:r>
      <w:r w:rsidR="00645C72" w:rsidRPr="000D06DE">
        <w:rPr>
          <w:bCs/>
          <w:szCs w:val="28"/>
        </w:rPr>
        <w:t xml:space="preserve"> мероприятий по предоставлению государственных услуг и мер социальной поддержки населению</w:t>
      </w:r>
      <w:r w:rsidR="001B511A" w:rsidRPr="000D06DE">
        <w:rPr>
          <w:bCs/>
          <w:szCs w:val="28"/>
        </w:rPr>
        <w:t>;</w:t>
      </w:r>
    </w:p>
    <w:p w:rsidR="001B511A" w:rsidRPr="000D06DE" w:rsidRDefault="001B511A" w:rsidP="003F33E7">
      <w:pPr>
        <w:rPr>
          <w:bCs/>
          <w:szCs w:val="28"/>
        </w:rPr>
      </w:pPr>
      <w:r w:rsidRPr="000D06DE">
        <w:rPr>
          <w:bCs/>
          <w:szCs w:val="28"/>
        </w:rPr>
        <w:t xml:space="preserve">- </w:t>
      </w:r>
      <w:r w:rsidR="001C3429" w:rsidRPr="000D06DE">
        <w:rPr>
          <w:bCs/>
          <w:szCs w:val="28"/>
        </w:rPr>
        <w:t xml:space="preserve">удорожание мероприятий, </w:t>
      </w:r>
      <w:r w:rsidR="00785096" w:rsidRPr="000D06DE">
        <w:rPr>
          <w:bCs/>
          <w:szCs w:val="28"/>
        </w:rPr>
        <w:t>недостаточность</w:t>
      </w:r>
      <w:r w:rsidR="000F166E" w:rsidRPr="000D06DE">
        <w:rPr>
          <w:bCs/>
          <w:szCs w:val="28"/>
        </w:rPr>
        <w:t>или позднее поступление финансирования</w:t>
      </w:r>
      <w:r w:rsidR="001303A7" w:rsidRPr="000D06DE">
        <w:rPr>
          <w:bCs/>
          <w:szCs w:val="28"/>
        </w:rPr>
        <w:t>;</w:t>
      </w:r>
    </w:p>
    <w:p w:rsidR="001303A7" w:rsidRPr="000D06DE" w:rsidRDefault="001303A7" w:rsidP="001303A7">
      <w:pPr>
        <w:rPr>
          <w:bCs/>
          <w:szCs w:val="28"/>
        </w:rPr>
      </w:pPr>
      <w:r w:rsidRPr="000D06DE">
        <w:rPr>
          <w:bCs/>
          <w:szCs w:val="28"/>
        </w:rPr>
        <w:t>- внешние факторы, на которые невозможно оказать влияние в рамках государственных программ.</w:t>
      </w:r>
    </w:p>
    <w:p w:rsidR="003F33E7" w:rsidRPr="00E11944" w:rsidRDefault="003F33E7" w:rsidP="003F33E7">
      <w:pPr>
        <w:rPr>
          <w:szCs w:val="28"/>
        </w:rPr>
      </w:pPr>
      <w:r w:rsidRPr="000D06DE">
        <w:rPr>
          <w:szCs w:val="28"/>
        </w:rPr>
        <w:t>Сведения о ходе исполнения мероприятий государственных программ за 20</w:t>
      </w:r>
      <w:r w:rsidR="000D06DE">
        <w:rPr>
          <w:szCs w:val="28"/>
        </w:rPr>
        <w:t>20</w:t>
      </w:r>
      <w:r w:rsidRPr="000D06DE">
        <w:rPr>
          <w:szCs w:val="28"/>
        </w:rPr>
        <w:t xml:space="preserve">год представлены в разрезе подпрограмм в приложении № </w:t>
      </w:r>
      <w:r w:rsidR="00A946F4" w:rsidRPr="000D06DE">
        <w:rPr>
          <w:szCs w:val="28"/>
        </w:rPr>
        <w:t>2</w:t>
      </w:r>
      <w:r w:rsidRPr="000D06DE">
        <w:rPr>
          <w:szCs w:val="28"/>
        </w:rPr>
        <w:t>.</w:t>
      </w:r>
    </w:p>
    <w:p w:rsidR="008B18C2" w:rsidRPr="00E11944" w:rsidRDefault="008B18C2" w:rsidP="00785096">
      <w:pPr>
        <w:ind w:firstLine="851"/>
        <w:rPr>
          <w:bCs/>
          <w:szCs w:val="28"/>
        </w:rPr>
      </w:pPr>
    </w:p>
    <w:p w:rsidR="008B18C2" w:rsidRPr="004A1BF9" w:rsidRDefault="00591F97" w:rsidP="00785096">
      <w:pPr>
        <w:ind w:firstLine="851"/>
        <w:rPr>
          <w:b/>
          <w:bCs/>
          <w:szCs w:val="28"/>
        </w:rPr>
      </w:pPr>
      <w:r w:rsidRPr="004A1BF9">
        <w:rPr>
          <w:b/>
          <w:bCs/>
          <w:szCs w:val="28"/>
        </w:rPr>
        <w:t>3. Объекты капитального строительства</w:t>
      </w:r>
    </w:p>
    <w:p w:rsidR="00533E7D" w:rsidRPr="004A1BF9" w:rsidRDefault="00533E7D" w:rsidP="00533E7D">
      <w:pPr>
        <w:ind w:firstLine="851"/>
        <w:rPr>
          <w:szCs w:val="28"/>
        </w:rPr>
      </w:pPr>
      <w:r w:rsidRPr="004A1BF9">
        <w:rPr>
          <w:bCs/>
          <w:szCs w:val="28"/>
        </w:rPr>
        <w:t>По состоянию на конец 2020 года в рамках 10 государственных программ предусматривались строительные и проектно-изыскательские работы на 55 объектах с финансированием в объеме</w:t>
      </w:r>
      <w:r w:rsidR="0041268A">
        <w:rPr>
          <w:bCs/>
          <w:szCs w:val="28"/>
        </w:rPr>
        <w:t xml:space="preserve"> 5 803 млн рублей (приложение № </w:t>
      </w:r>
      <w:r w:rsidRPr="004A1BF9">
        <w:rPr>
          <w:bCs/>
          <w:szCs w:val="28"/>
        </w:rPr>
        <w:t xml:space="preserve">3). </w:t>
      </w:r>
      <w:r w:rsidRPr="004A1BF9">
        <w:rPr>
          <w:szCs w:val="28"/>
        </w:rPr>
        <w:t xml:space="preserve">Плановый объем </w:t>
      </w:r>
      <w:r w:rsidR="00DF23F8">
        <w:rPr>
          <w:szCs w:val="28"/>
        </w:rPr>
        <w:t>финансирования</w:t>
      </w:r>
      <w:r w:rsidRPr="004A1BF9">
        <w:rPr>
          <w:szCs w:val="28"/>
        </w:rPr>
        <w:t xml:space="preserve"> увеличился в 2,2 раза по сравнению с 2019 годом (2 607,7 млн рублей), в основном за счет средств, предусмотренных на строительство образовательных учреждений и объектов здравоохранения.</w:t>
      </w:r>
    </w:p>
    <w:p w:rsidR="00533E7D" w:rsidRPr="004A1BF9" w:rsidRDefault="00533E7D" w:rsidP="00533E7D">
      <w:pPr>
        <w:ind w:firstLine="851"/>
        <w:rPr>
          <w:szCs w:val="28"/>
        </w:rPr>
      </w:pPr>
      <w:r w:rsidRPr="004A1BF9">
        <w:rPr>
          <w:szCs w:val="28"/>
        </w:rPr>
        <w:t>В связи со значительным увеличением в 2020 году объема предусмотренных бюджетных ассигнований можно отметить и рост объема фактически выполненных и принятых в установленном порядке работ (в 2020 году – 3 759,3 млн. рублей, или 64,8 %, в 2019 году – 1 828,6 млн. рублей</w:t>
      </w:r>
      <w:r w:rsidR="00DF23F8">
        <w:rPr>
          <w:szCs w:val="28"/>
        </w:rPr>
        <w:t>,</w:t>
      </w:r>
      <w:r w:rsidRPr="004A1BF9">
        <w:rPr>
          <w:szCs w:val="28"/>
        </w:rPr>
        <w:t xml:space="preserve"> или 70,1 %).</w:t>
      </w:r>
    </w:p>
    <w:p w:rsidR="00533E7D" w:rsidRPr="004A1BF9" w:rsidRDefault="00533E7D" w:rsidP="00533E7D">
      <w:pPr>
        <w:ind w:firstLine="851"/>
        <w:rPr>
          <w:szCs w:val="28"/>
        </w:rPr>
      </w:pPr>
      <w:r w:rsidRPr="004A1BF9">
        <w:rPr>
          <w:szCs w:val="28"/>
        </w:rPr>
        <w:t xml:space="preserve">За счет средств областного бюджета выполнены работы на сумму 1 549,4 млн. рублей из запланированных 2 487 млн. рублей (в 2019 году – 1 122,8 из 1 429,1 млн. рублей). Объем выполненных работ за счет ассигнований из федерального бюджета составил 1 846,3 млн. рублей при плане 2 492,8 млн. рублей (в 2019 году – 530,8 при плане 707,7 млн. рублей). За счет средств местных бюджетов выполнено работ на сумму 205 млн. рублей из 325,3 млн. рублей запланированных (в 2019 году – 169 из 217,7 млн. рублей). </w:t>
      </w:r>
      <w:r w:rsidR="00C709DF" w:rsidRPr="002E27FB">
        <w:rPr>
          <w:szCs w:val="28"/>
        </w:rPr>
        <w:t>Значительное</w:t>
      </w:r>
      <w:r w:rsidR="00713E5D" w:rsidRPr="002E27FB">
        <w:rPr>
          <w:szCs w:val="28"/>
        </w:rPr>
        <w:t xml:space="preserve"> число введенных объектов (4 </w:t>
      </w:r>
      <w:r w:rsidR="00C709DF" w:rsidRPr="002E27FB">
        <w:rPr>
          <w:szCs w:val="28"/>
        </w:rPr>
        <w:t>ед.</w:t>
      </w:r>
      <w:r w:rsidR="00713E5D" w:rsidRPr="002E27FB">
        <w:rPr>
          <w:szCs w:val="28"/>
        </w:rPr>
        <w:t>) приход</w:t>
      </w:r>
      <w:r w:rsidR="00C709DF" w:rsidRPr="002E27FB">
        <w:rPr>
          <w:szCs w:val="28"/>
        </w:rPr>
        <w:t>ится на объекты спортивной инфраструктуры, в связи с чем в рамках государственной программ</w:t>
      </w:r>
      <w:r w:rsidR="00892136" w:rsidRPr="002E27FB">
        <w:rPr>
          <w:szCs w:val="28"/>
        </w:rPr>
        <w:t>ы</w:t>
      </w:r>
      <w:r w:rsidR="00C709DF" w:rsidRPr="002E27FB">
        <w:rPr>
          <w:szCs w:val="28"/>
        </w:rPr>
        <w:t xml:space="preserve"> «Развитие физической культуры и спорта» израсходован наибольший объем </w:t>
      </w:r>
      <w:r w:rsidRPr="002E27FB">
        <w:rPr>
          <w:szCs w:val="28"/>
        </w:rPr>
        <w:t>средств: за сче</w:t>
      </w:r>
      <w:bookmarkStart w:id="0" w:name="_GoBack"/>
      <w:bookmarkEnd w:id="0"/>
      <w:r w:rsidRPr="002E27FB">
        <w:rPr>
          <w:szCs w:val="28"/>
        </w:rPr>
        <w:t>т средств областного бюджета – 402,3 млн. рублей (26 % от общего объема средств</w:t>
      </w:r>
      <w:r w:rsidRPr="00C709DF">
        <w:rPr>
          <w:szCs w:val="28"/>
        </w:rPr>
        <w:t xml:space="preserve"> областного бюджета), за счет средств федерального бюджета – 584,4 млн. рублей (31,7% от общего объема средств </w:t>
      </w:r>
      <w:r w:rsidRPr="00C709DF">
        <w:rPr>
          <w:szCs w:val="28"/>
        </w:rPr>
        <w:lastRenderedPageBreak/>
        <w:t>федерального бюджета), за счет средств местного бюджета – 145,7 млн. рублей (71,1 % от общего объема средств местного бюджета).</w:t>
      </w:r>
    </w:p>
    <w:p w:rsidR="00533E7D" w:rsidRPr="004A1BF9" w:rsidRDefault="00533E7D" w:rsidP="00533E7D">
      <w:pPr>
        <w:ind w:firstLine="851"/>
        <w:rPr>
          <w:bCs/>
          <w:szCs w:val="28"/>
        </w:rPr>
      </w:pPr>
      <w:r w:rsidRPr="004A1BF9">
        <w:rPr>
          <w:bCs/>
          <w:szCs w:val="28"/>
        </w:rPr>
        <w:t>На ряде объектов продолжались работы за счет средств, не освоенных в предыдущие годы (выполнение составило 329,9 млн. рублей).</w:t>
      </w:r>
    </w:p>
    <w:p w:rsidR="00533E7D" w:rsidRPr="004A1BF9" w:rsidRDefault="00533E7D" w:rsidP="00533E7D">
      <w:pPr>
        <w:ind w:firstLine="851"/>
        <w:rPr>
          <w:szCs w:val="28"/>
        </w:rPr>
      </w:pPr>
      <w:r w:rsidRPr="004A1BF9">
        <w:rPr>
          <w:szCs w:val="28"/>
        </w:rPr>
        <w:t>Всего в 2020 году завершены работы на 11 объектах. Получены разрешения на ввод в эксплуатацию 8 объектов:</w:t>
      </w:r>
    </w:p>
    <w:p w:rsidR="00533E7D" w:rsidRPr="004A1BF9" w:rsidRDefault="00533E7D" w:rsidP="00533E7D">
      <w:pPr>
        <w:numPr>
          <w:ilvl w:val="0"/>
          <w:numId w:val="9"/>
        </w:numPr>
        <w:tabs>
          <w:tab w:val="left" w:pos="993"/>
        </w:tabs>
        <w:ind w:firstLine="131"/>
        <w:rPr>
          <w:szCs w:val="28"/>
        </w:rPr>
      </w:pPr>
      <w:r w:rsidRPr="004A1BF9">
        <w:rPr>
          <w:szCs w:val="28"/>
        </w:rPr>
        <w:t>амбулатория в п.г.т. Сафоново;</w:t>
      </w:r>
    </w:p>
    <w:p w:rsidR="00533E7D" w:rsidRPr="004A1BF9" w:rsidRDefault="00533E7D" w:rsidP="00533E7D">
      <w:pPr>
        <w:numPr>
          <w:ilvl w:val="0"/>
          <w:numId w:val="9"/>
        </w:numPr>
        <w:tabs>
          <w:tab w:val="left" w:pos="993"/>
        </w:tabs>
        <w:ind w:firstLine="131"/>
        <w:rPr>
          <w:szCs w:val="28"/>
        </w:rPr>
      </w:pPr>
      <w:r w:rsidRPr="004A1BF9">
        <w:rPr>
          <w:szCs w:val="28"/>
        </w:rPr>
        <w:t xml:space="preserve">фельдшерско-акушерский пункт в с. Краснощелье </w:t>
      </w:r>
      <w:proofErr w:type="spellStart"/>
      <w:r w:rsidRPr="004A1BF9">
        <w:rPr>
          <w:szCs w:val="28"/>
        </w:rPr>
        <w:t>Ловозерскогорайона</w:t>
      </w:r>
      <w:proofErr w:type="spellEnd"/>
      <w:r w:rsidRPr="004A1BF9">
        <w:rPr>
          <w:szCs w:val="28"/>
        </w:rPr>
        <w:t>;</w:t>
      </w:r>
    </w:p>
    <w:p w:rsidR="00533E7D" w:rsidRPr="004A1BF9" w:rsidRDefault="00533E7D" w:rsidP="00533E7D">
      <w:pPr>
        <w:numPr>
          <w:ilvl w:val="0"/>
          <w:numId w:val="9"/>
        </w:numPr>
        <w:tabs>
          <w:tab w:val="left" w:pos="993"/>
        </w:tabs>
        <w:ind w:firstLine="131"/>
        <w:rPr>
          <w:szCs w:val="28"/>
        </w:rPr>
      </w:pPr>
      <w:r w:rsidRPr="004A1BF9">
        <w:rPr>
          <w:szCs w:val="28"/>
        </w:rPr>
        <w:t>комплексное развитие спорткомплекса «Долина Уюта» в г. Мурманск;</w:t>
      </w:r>
    </w:p>
    <w:p w:rsidR="00533E7D" w:rsidRPr="004A1BF9" w:rsidRDefault="00533E7D" w:rsidP="00533E7D">
      <w:pPr>
        <w:numPr>
          <w:ilvl w:val="0"/>
          <w:numId w:val="9"/>
        </w:numPr>
        <w:tabs>
          <w:tab w:val="left" w:pos="993"/>
        </w:tabs>
        <w:ind w:firstLine="131"/>
        <w:rPr>
          <w:szCs w:val="28"/>
        </w:rPr>
      </w:pPr>
      <w:r w:rsidRPr="004A1BF9">
        <w:rPr>
          <w:szCs w:val="28"/>
        </w:rPr>
        <w:t>крытый каток с искусственным льдом МАУ ГСЦ «Авангард» в г. Мурманск;</w:t>
      </w:r>
    </w:p>
    <w:p w:rsidR="00533E7D" w:rsidRPr="004A1BF9" w:rsidRDefault="00533E7D" w:rsidP="00533E7D">
      <w:pPr>
        <w:numPr>
          <w:ilvl w:val="0"/>
          <w:numId w:val="9"/>
        </w:numPr>
        <w:tabs>
          <w:tab w:val="left" w:pos="993"/>
        </w:tabs>
        <w:ind w:firstLine="131"/>
        <w:rPr>
          <w:szCs w:val="28"/>
        </w:rPr>
      </w:pPr>
      <w:r w:rsidRPr="004A1BF9">
        <w:rPr>
          <w:szCs w:val="28"/>
        </w:rPr>
        <w:t>физкультурно-оздоровительный комплекс в г. Апатиты;</w:t>
      </w:r>
    </w:p>
    <w:p w:rsidR="00533E7D" w:rsidRPr="004A1BF9" w:rsidRDefault="00533E7D" w:rsidP="00533E7D">
      <w:pPr>
        <w:numPr>
          <w:ilvl w:val="0"/>
          <w:numId w:val="9"/>
        </w:numPr>
        <w:tabs>
          <w:tab w:val="left" w:pos="993"/>
        </w:tabs>
        <w:ind w:firstLine="131"/>
        <w:rPr>
          <w:szCs w:val="28"/>
        </w:rPr>
      </w:pPr>
      <w:r w:rsidRPr="004A1BF9">
        <w:rPr>
          <w:szCs w:val="28"/>
        </w:rPr>
        <w:t xml:space="preserve">лыжная база муниципального бюджетного образовательного учреждения дополнительного образования детей Центр детского творчества в п.г.т. Умба; </w:t>
      </w:r>
    </w:p>
    <w:p w:rsidR="00533E7D" w:rsidRPr="004A1BF9" w:rsidRDefault="00533E7D" w:rsidP="00533E7D">
      <w:pPr>
        <w:numPr>
          <w:ilvl w:val="0"/>
          <w:numId w:val="9"/>
        </w:numPr>
        <w:tabs>
          <w:tab w:val="left" w:pos="993"/>
        </w:tabs>
        <w:ind w:firstLine="131"/>
        <w:rPr>
          <w:szCs w:val="28"/>
        </w:rPr>
      </w:pPr>
      <w:r w:rsidRPr="004A1BF9">
        <w:rPr>
          <w:szCs w:val="28"/>
        </w:rPr>
        <w:t xml:space="preserve">реконструкция водозаборных сооружений с. </w:t>
      </w:r>
      <w:proofErr w:type="spellStart"/>
      <w:r w:rsidRPr="004A1BF9">
        <w:rPr>
          <w:szCs w:val="28"/>
        </w:rPr>
        <w:t>Тулома</w:t>
      </w:r>
      <w:proofErr w:type="spellEnd"/>
      <w:r w:rsidRPr="004A1BF9">
        <w:rPr>
          <w:szCs w:val="28"/>
        </w:rPr>
        <w:t xml:space="preserve"> Кольского района Мурманской области;</w:t>
      </w:r>
    </w:p>
    <w:p w:rsidR="00533E7D" w:rsidRPr="004A1BF9" w:rsidRDefault="00533E7D" w:rsidP="00533E7D">
      <w:pPr>
        <w:numPr>
          <w:ilvl w:val="0"/>
          <w:numId w:val="9"/>
        </w:numPr>
        <w:tabs>
          <w:tab w:val="left" w:pos="993"/>
        </w:tabs>
        <w:ind w:firstLine="131"/>
        <w:rPr>
          <w:szCs w:val="28"/>
        </w:rPr>
      </w:pPr>
      <w:r w:rsidRPr="004A1BF9">
        <w:rPr>
          <w:szCs w:val="28"/>
        </w:rPr>
        <w:t>пожарное депо на 4 автомобиля в п.г.т. Умба.</w:t>
      </w:r>
    </w:p>
    <w:p w:rsidR="00533E7D" w:rsidRPr="004A1BF9" w:rsidRDefault="00791510" w:rsidP="00533E7D">
      <w:pPr>
        <w:tabs>
          <w:tab w:val="left" w:pos="993"/>
        </w:tabs>
        <w:ind w:firstLine="851"/>
        <w:rPr>
          <w:szCs w:val="28"/>
        </w:rPr>
      </w:pPr>
      <w:r>
        <w:rPr>
          <w:szCs w:val="28"/>
        </w:rPr>
        <w:t>З</w:t>
      </w:r>
      <w:r w:rsidR="00533E7D" w:rsidRPr="004A1BF9">
        <w:rPr>
          <w:szCs w:val="28"/>
        </w:rPr>
        <w:t>авершены работы по реконструкции системы водоподготовки плавательного бассейна средней общеобразовательной школы № 6 с углубленным изучением ан</w:t>
      </w:r>
      <w:r>
        <w:rPr>
          <w:szCs w:val="28"/>
        </w:rPr>
        <w:t xml:space="preserve">глийского языка в г. Апатиты, а также </w:t>
      </w:r>
      <w:r w:rsidR="00533E7D" w:rsidRPr="004A1BF9">
        <w:rPr>
          <w:szCs w:val="28"/>
        </w:rPr>
        <w:t>выполнена замена централизованного водяного теплоснабжения на электрическое в домах № 30 и № 32 по ул. Шоссейная в п.г.т. Зеленоборский Кандалакшского района.</w:t>
      </w:r>
    </w:p>
    <w:p w:rsidR="00533E7D" w:rsidRPr="004A1BF9" w:rsidRDefault="00533E7D" w:rsidP="00533E7D">
      <w:pPr>
        <w:tabs>
          <w:tab w:val="left" w:pos="993"/>
        </w:tabs>
        <w:ind w:firstLine="851"/>
        <w:rPr>
          <w:szCs w:val="28"/>
        </w:rPr>
      </w:pPr>
      <w:r w:rsidRPr="004A1BF9">
        <w:rPr>
          <w:szCs w:val="28"/>
        </w:rPr>
        <w:t>Кроме того, в декабре 2020 года приобретено здание для создания регионального центра выявления, поддержки и развития способностей и талантов у детей и молодежи Мурманской области в г. Мурманск.</w:t>
      </w:r>
    </w:p>
    <w:p w:rsidR="00533E7D" w:rsidRPr="004A1BF9" w:rsidRDefault="00533E7D" w:rsidP="00533E7D">
      <w:pPr>
        <w:ind w:firstLine="851"/>
        <w:rPr>
          <w:bCs/>
          <w:szCs w:val="28"/>
        </w:rPr>
      </w:pPr>
      <w:r w:rsidRPr="004A1BF9">
        <w:rPr>
          <w:bCs/>
          <w:szCs w:val="28"/>
        </w:rPr>
        <w:t>Работы с отставанием от графика осуществлялись на 24 объектах (Рисунок 4). Основными причинами отставания являлись: невыполнение подрядными организациями взятых на себя обязательств, выявление необходимости проведения дополнительных работ в ходе строительства объектов, а также сложности, обусловленные сложившейся эпидемиологической обстановкой в регионе в связи с распространением коронавирусной инфекции.</w:t>
      </w:r>
    </w:p>
    <w:p w:rsidR="00533E7D" w:rsidRPr="004A1BF9" w:rsidRDefault="00533E7D" w:rsidP="00533E7D">
      <w:pPr>
        <w:ind w:firstLine="851"/>
        <w:rPr>
          <w:szCs w:val="28"/>
        </w:rPr>
      </w:pPr>
      <w:r w:rsidRPr="004A1BF9">
        <w:rPr>
          <w:szCs w:val="28"/>
        </w:rPr>
        <w:t>В 2020 году не выполнялись работы по 5 объектам:</w:t>
      </w:r>
    </w:p>
    <w:p w:rsidR="00533E7D" w:rsidRPr="004A1BF9" w:rsidRDefault="00533E7D" w:rsidP="00533E7D">
      <w:pPr>
        <w:numPr>
          <w:ilvl w:val="0"/>
          <w:numId w:val="18"/>
        </w:numPr>
        <w:tabs>
          <w:tab w:val="left" w:pos="1134"/>
        </w:tabs>
        <w:ind w:left="0" w:firstLine="851"/>
        <w:rPr>
          <w:szCs w:val="28"/>
        </w:rPr>
      </w:pPr>
      <w:r w:rsidRPr="004A1BF9">
        <w:rPr>
          <w:szCs w:val="28"/>
        </w:rPr>
        <w:t>не завершены работы по вводу в эксплуатацию системы централизованного теплоснабжения н.п. Зеленоборский Кандалакшского района в связи с продолжающимся поиском инвестора;</w:t>
      </w:r>
    </w:p>
    <w:p w:rsidR="00533E7D" w:rsidRPr="004A1BF9" w:rsidRDefault="00533E7D" w:rsidP="00533E7D">
      <w:pPr>
        <w:numPr>
          <w:ilvl w:val="0"/>
          <w:numId w:val="18"/>
        </w:numPr>
        <w:tabs>
          <w:tab w:val="left" w:pos="1134"/>
        </w:tabs>
        <w:ind w:left="0" w:firstLine="851"/>
        <w:rPr>
          <w:szCs w:val="28"/>
        </w:rPr>
      </w:pPr>
      <w:r w:rsidRPr="004A1BF9">
        <w:rPr>
          <w:szCs w:val="28"/>
        </w:rPr>
        <w:t xml:space="preserve">вследствие отсутствия инвестора не выполнялись работы </w:t>
      </w:r>
      <w:proofErr w:type="spellStart"/>
      <w:r w:rsidRPr="004A1BF9">
        <w:rPr>
          <w:szCs w:val="28"/>
        </w:rPr>
        <w:t>пореконструкциипроизводственно-технических</w:t>
      </w:r>
      <w:proofErr w:type="spellEnd"/>
      <w:r w:rsidRPr="004A1BF9">
        <w:rPr>
          <w:szCs w:val="28"/>
        </w:rPr>
        <w:t xml:space="preserve"> комплексов «ОСК п</w:t>
      </w:r>
      <w:r w:rsidR="00676908" w:rsidRPr="004A1BF9">
        <w:rPr>
          <w:szCs w:val="28"/>
        </w:rPr>
        <w:t>.</w:t>
      </w:r>
      <w:r w:rsidRPr="004A1BF9">
        <w:rPr>
          <w:szCs w:val="28"/>
        </w:rPr>
        <w:t>г</w:t>
      </w:r>
      <w:r w:rsidR="00676908" w:rsidRPr="004A1BF9">
        <w:rPr>
          <w:szCs w:val="28"/>
        </w:rPr>
        <w:t>.</w:t>
      </w:r>
      <w:r w:rsidRPr="004A1BF9">
        <w:rPr>
          <w:szCs w:val="28"/>
        </w:rPr>
        <w:t xml:space="preserve">т. </w:t>
      </w:r>
      <w:proofErr w:type="spellStart"/>
      <w:r w:rsidRPr="004A1BF9">
        <w:rPr>
          <w:szCs w:val="28"/>
        </w:rPr>
        <w:t>Кильдинстрой</w:t>
      </w:r>
      <w:proofErr w:type="spellEnd"/>
      <w:r w:rsidRPr="004A1BF9">
        <w:rPr>
          <w:szCs w:val="28"/>
        </w:rPr>
        <w:t xml:space="preserve">» и «ОСК н.п. </w:t>
      </w:r>
      <w:proofErr w:type="spellStart"/>
      <w:r w:rsidRPr="004A1BF9">
        <w:rPr>
          <w:szCs w:val="28"/>
        </w:rPr>
        <w:t>Шонгуй</w:t>
      </w:r>
      <w:proofErr w:type="spellEnd"/>
      <w:r w:rsidRPr="004A1BF9">
        <w:rPr>
          <w:szCs w:val="28"/>
        </w:rPr>
        <w:t>»;</w:t>
      </w:r>
    </w:p>
    <w:p w:rsidR="00533E7D" w:rsidRPr="004A1BF9" w:rsidRDefault="00533E7D" w:rsidP="00533E7D">
      <w:pPr>
        <w:numPr>
          <w:ilvl w:val="0"/>
          <w:numId w:val="18"/>
        </w:numPr>
        <w:tabs>
          <w:tab w:val="left" w:pos="1134"/>
        </w:tabs>
        <w:ind w:left="0" w:firstLine="851"/>
        <w:rPr>
          <w:szCs w:val="28"/>
        </w:rPr>
      </w:pPr>
      <w:r w:rsidRPr="004A1BF9">
        <w:rPr>
          <w:szCs w:val="28"/>
        </w:rPr>
        <w:lastRenderedPageBreak/>
        <w:t xml:space="preserve">не выполнялись работы по реконструкции мостового перехода через р. </w:t>
      </w:r>
      <w:proofErr w:type="spellStart"/>
      <w:r w:rsidRPr="004A1BF9">
        <w:rPr>
          <w:szCs w:val="28"/>
        </w:rPr>
        <w:t>Мартимьявр</w:t>
      </w:r>
      <w:proofErr w:type="spellEnd"/>
      <w:r w:rsidRPr="004A1BF9">
        <w:rPr>
          <w:szCs w:val="28"/>
        </w:rPr>
        <w:t xml:space="preserve"> на км 97 + 935 автомобильной дороги Кола - Серебрянские ГЭС с подъездами в связи с принятием решения о переносе работ на 2021 год;</w:t>
      </w:r>
    </w:p>
    <w:p w:rsidR="00533E7D" w:rsidRPr="004A1BF9" w:rsidRDefault="00533E7D" w:rsidP="00533E7D">
      <w:pPr>
        <w:numPr>
          <w:ilvl w:val="0"/>
          <w:numId w:val="18"/>
        </w:numPr>
        <w:tabs>
          <w:tab w:val="left" w:pos="1134"/>
        </w:tabs>
        <w:ind w:left="0" w:firstLine="1142"/>
        <w:rPr>
          <w:szCs w:val="28"/>
        </w:rPr>
      </w:pPr>
      <w:r w:rsidRPr="004A1BF9">
        <w:rPr>
          <w:szCs w:val="28"/>
        </w:rPr>
        <w:t xml:space="preserve">не осуществлялись работы по строительству </w:t>
      </w:r>
      <w:proofErr w:type="spellStart"/>
      <w:r w:rsidRPr="004A1BF9">
        <w:rPr>
          <w:szCs w:val="28"/>
        </w:rPr>
        <w:t>автодорожно-пешеходного</w:t>
      </w:r>
      <w:proofErr w:type="spellEnd"/>
      <w:r w:rsidRPr="004A1BF9">
        <w:rPr>
          <w:szCs w:val="28"/>
        </w:rPr>
        <w:t xml:space="preserve"> моста через реку </w:t>
      </w:r>
      <w:proofErr w:type="spellStart"/>
      <w:r w:rsidRPr="004A1BF9">
        <w:rPr>
          <w:szCs w:val="28"/>
        </w:rPr>
        <w:t>Колвица</w:t>
      </w:r>
      <w:proofErr w:type="spellEnd"/>
      <w:r w:rsidRPr="004A1BF9">
        <w:rPr>
          <w:szCs w:val="28"/>
        </w:rPr>
        <w:t xml:space="preserve"> в с. </w:t>
      </w:r>
      <w:proofErr w:type="spellStart"/>
      <w:r w:rsidRPr="004A1BF9">
        <w:rPr>
          <w:szCs w:val="28"/>
        </w:rPr>
        <w:t>Колвицаг.п</w:t>
      </w:r>
      <w:proofErr w:type="spellEnd"/>
      <w:r w:rsidRPr="004A1BF9">
        <w:rPr>
          <w:szCs w:val="28"/>
        </w:rPr>
        <w:t>. Кандалакша, мероприятие запланировано к реализации в 2021 году.</w:t>
      </w:r>
    </w:p>
    <w:p w:rsidR="00533E7D" w:rsidRPr="00EB0A95" w:rsidRDefault="00533E7D" w:rsidP="00533E7D">
      <w:pPr>
        <w:tabs>
          <w:tab w:val="left" w:pos="1134"/>
        </w:tabs>
        <w:ind w:left="851" w:firstLine="0"/>
        <w:rPr>
          <w:szCs w:val="28"/>
          <w:highlight w:val="yellow"/>
        </w:rPr>
      </w:pPr>
    </w:p>
    <w:p w:rsidR="00533E7D" w:rsidRDefault="00533E7D" w:rsidP="00533E7D">
      <w:pPr>
        <w:rPr>
          <w:noProof/>
        </w:rPr>
      </w:pPr>
      <w:r>
        <w:rPr>
          <w:noProof/>
        </w:rPr>
        <w:drawing>
          <wp:inline distT="0" distB="0" distL="0" distR="0">
            <wp:extent cx="5523230" cy="35661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23230" cy="3566160"/>
                    </a:xfrm>
                    <a:prstGeom prst="rect">
                      <a:avLst/>
                    </a:prstGeom>
                    <a:noFill/>
                  </pic:spPr>
                </pic:pic>
              </a:graphicData>
            </a:graphic>
          </wp:inline>
        </w:drawing>
      </w:r>
    </w:p>
    <w:p w:rsidR="00533E7D" w:rsidRDefault="00533E7D" w:rsidP="00785096">
      <w:pPr>
        <w:jc w:val="center"/>
        <w:rPr>
          <w:bCs/>
          <w:szCs w:val="28"/>
        </w:rPr>
      </w:pPr>
    </w:p>
    <w:p w:rsidR="00785096" w:rsidRPr="00E11944" w:rsidRDefault="00533E7D" w:rsidP="00785096">
      <w:pPr>
        <w:jc w:val="center"/>
        <w:rPr>
          <w:bCs/>
          <w:szCs w:val="28"/>
        </w:rPr>
      </w:pPr>
      <w:r>
        <w:rPr>
          <w:bCs/>
          <w:szCs w:val="28"/>
        </w:rPr>
        <w:t>Р</w:t>
      </w:r>
      <w:r w:rsidR="00785096" w:rsidRPr="00C00883">
        <w:rPr>
          <w:bCs/>
          <w:szCs w:val="28"/>
        </w:rPr>
        <w:t>исунок 4</w:t>
      </w:r>
    </w:p>
    <w:p w:rsidR="00785096" w:rsidRPr="00E11944" w:rsidRDefault="00785096" w:rsidP="00785096">
      <w:pPr>
        <w:rPr>
          <w:bCs/>
          <w:szCs w:val="28"/>
        </w:rPr>
      </w:pPr>
    </w:p>
    <w:p w:rsidR="008B18C2" w:rsidRPr="00E11944" w:rsidRDefault="008B18C2" w:rsidP="00326080">
      <w:pPr>
        <w:rPr>
          <w:b/>
          <w:szCs w:val="28"/>
        </w:rPr>
      </w:pPr>
      <w:r w:rsidRPr="00E11944">
        <w:rPr>
          <w:b/>
          <w:szCs w:val="28"/>
        </w:rPr>
        <w:t>4. Финансирование</w:t>
      </w:r>
    </w:p>
    <w:p w:rsidR="00326080" w:rsidRPr="00E11944" w:rsidRDefault="00326080" w:rsidP="00326080">
      <w:pPr>
        <w:rPr>
          <w:szCs w:val="28"/>
        </w:rPr>
      </w:pPr>
      <w:r w:rsidRPr="00E11944">
        <w:rPr>
          <w:szCs w:val="28"/>
        </w:rPr>
        <w:t>По состоянию на конец 20</w:t>
      </w:r>
      <w:r w:rsidR="00535707">
        <w:rPr>
          <w:szCs w:val="28"/>
        </w:rPr>
        <w:t>20</w:t>
      </w:r>
      <w:r w:rsidRPr="00E11944">
        <w:rPr>
          <w:szCs w:val="28"/>
        </w:rPr>
        <w:t xml:space="preserve"> года общий объем финансирования, запланированный на реализацию </w:t>
      </w:r>
      <w:r w:rsidR="001B511A" w:rsidRPr="00E11944">
        <w:rPr>
          <w:szCs w:val="28"/>
        </w:rPr>
        <w:t>16</w:t>
      </w:r>
      <w:r w:rsidRPr="00E11944">
        <w:rPr>
          <w:szCs w:val="28"/>
        </w:rPr>
        <w:t xml:space="preserve"> государственных программ, составил </w:t>
      </w:r>
      <w:r w:rsidR="000D06DE" w:rsidRPr="000D06DE">
        <w:rPr>
          <w:szCs w:val="28"/>
        </w:rPr>
        <w:t>102,6</w:t>
      </w:r>
      <w:r w:rsidR="00BC3B46" w:rsidRPr="000D06DE">
        <w:rPr>
          <w:szCs w:val="28"/>
        </w:rPr>
        <w:t>млрд.</w:t>
      </w:r>
      <w:r w:rsidRPr="000D06DE">
        <w:rPr>
          <w:szCs w:val="28"/>
        </w:rPr>
        <w:t xml:space="preserve"> рублей, в том числе за счет средств областного бюджета </w:t>
      </w:r>
      <w:r w:rsidR="000D06DE">
        <w:rPr>
          <w:szCs w:val="28"/>
        </w:rPr>
        <w:t>69,2</w:t>
      </w:r>
      <w:r w:rsidRPr="000D06DE">
        <w:rPr>
          <w:szCs w:val="28"/>
        </w:rPr>
        <w:t> млрд. рублей.</w:t>
      </w:r>
    </w:p>
    <w:p w:rsidR="00C86C20" w:rsidRPr="00E11944" w:rsidRDefault="00FF534B" w:rsidP="00C86C20">
      <w:pPr>
        <w:rPr>
          <w:szCs w:val="28"/>
        </w:rPr>
      </w:pPr>
      <w:r w:rsidRPr="00760D5B">
        <w:rPr>
          <w:szCs w:val="28"/>
        </w:rPr>
        <w:t xml:space="preserve">Плановые объемы </w:t>
      </w:r>
      <w:proofErr w:type="spellStart"/>
      <w:r w:rsidRPr="00760D5B">
        <w:rPr>
          <w:szCs w:val="28"/>
        </w:rPr>
        <w:t>софинансирования</w:t>
      </w:r>
      <w:proofErr w:type="spellEnd"/>
      <w:r w:rsidRPr="00760D5B">
        <w:rPr>
          <w:szCs w:val="28"/>
        </w:rPr>
        <w:t xml:space="preserve"> мероприятий государственных программ за счет средств федерального бюджета </w:t>
      </w:r>
      <w:r w:rsidR="001B511A" w:rsidRPr="00760D5B">
        <w:rPr>
          <w:szCs w:val="28"/>
        </w:rPr>
        <w:t>возросли</w:t>
      </w:r>
      <w:r w:rsidR="00F7541E" w:rsidRPr="00760D5B">
        <w:rPr>
          <w:szCs w:val="28"/>
        </w:rPr>
        <w:t xml:space="preserve">с </w:t>
      </w:r>
      <w:r w:rsidR="00760D5B" w:rsidRPr="00760D5B">
        <w:rPr>
          <w:szCs w:val="28"/>
        </w:rPr>
        <w:t>9,2</w:t>
      </w:r>
      <w:r w:rsidR="00D943A6" w:rsidRPr="00760D5B">
        <w:rPr>
          <w:szCs w:val="28"/>
        </w:rPr>
        <w:t xml:space="preserve"> млрд. рублей в 201</w:t>
      </w:r>
      <w:r w:rsidR="00760D5B" w:rsidRPr="00760D5B">
        <w:rPr>
          <w:szCs w:val="28"/>
        </w:rPr>
        <w:t>9</w:t>
      </w:r>
      <w:r w:rsidR="00F7541E" w:rsidRPr="00760D5B">
        <w:rPr>
          <w:szCs w:val="28"/>
        </w:rPr>
        <w:t xml:space="preserve"> году </w:t>
      </w:r>
      <w:r w:rsidRPr="00760D5B">
        <w:rPr>
          <w:szCs w:val="28"/>
        </w:rPr>
        <w:t xml:space="preserve">до </w:t>
      </w:r>
      <w:r w:rsidR="00760D5B" w:rsidRPr="00760D5B">
        <w:rPr>
          <w:szCs w:val="28"/>
        </w:rPr>
        <w:t>13,1</w:t>
      </w:r>
      <w:r w:rsidR="00052625" w:rsidRPr="00760D5B">
        <w:rPr>
          <w:szCs w:val="28"/>
        </w:rPr>
        <w:t xml:space="preserve"> млрд. </w:t>
      </w:r>
      <w:r w:rsidR="006E6B1D" w:rsidRPr="00760D5B">
        <w:rPr>
          <w:szCs w:val="28"/>
        </w:rPr>
        <w:t xml:space="preserve">рублей </w:t>
      </w:r>
      <w:r w:rsidR="00D943A6" w:rsidRPr="00760D5B">
        <w:rPr>
          <w:szCs w:val="28"/>
        </w:rPr>
        <w:t>в 20</w:t>
      </w:r>
      <w:r w:rsidR="00760D5B" w:rsidRPr="00760D5B">
        <w:rPr>
          <w:szCs w:val="28"/>
        </w:rPr>
        <w:t>20</w:t>
      </w:r>
      <w:r w:rsidR="00F7541E" w:rsidRPr="00760D5B">
        <w:rPr>
          <w:szCs w:val="28"/>
        </w:rPr>
        <w:t xml:space="preserve"> году </w:t>
      </w:r>
      <w:r w:rsidRPr="00760D5B">
        <w:rPr>
          <w:szCs w:val="28"/>
        </w:rPr>
        <w:t xml:space="preserve">(на </w:t>
      </w:r>
      <w:r w:rsidR="00760D5B" w:rsidRPr="00760D5B">
        <w:rPr>
          <w:szCs w:val="28"/>
        </w:rPr>
        <w:t>42,4</w:t>
      </w:r>
      <w:r w:rsidRPr="00760D5B">
        <w:rPr>
          <w:szCs w:val="28"/>
        </w:rPr>
        <w:t xml:space="preserve">%), </w:t>
      </w:r>
      <w:r w:rsidR="00D943A6" w:rsidRPr="00760D5B">
        <w:rPr>
          <w:szCs w:val="28"/>
        </w:rPr>
        <w:t xml:space="preserve">что во многом обусловлено </w:t>
      </w:r>
      <w:r w:rsidR="00743710">
        <w:rPr>
          <w:szCs w:val="28"/>
        </w:rPr>
        <w:t>увеличением средств по национальным проектам «Жилье и городская среда», «Экология», «</w:t>
      </w:r>
      <w:r w:rsidR="00743710" w:rsidRPr="00743710">
        <w:rPr>
          <w:szCs w:val="28"/>
        </w:rPr>
        <w:t>Малое и среднее предпринимательство и поддержка индивидуальной предпринимательской инициативы</w:t>
      </w:r>
      <w:r w:rsidR="00743710">
        <w:rPr>
          <w:szCs w:val="28"/>
        </w:rPr>
        <w:t>»</w:t>
      </w:r>
      <w:r w:rsidR="00D943A6" w:rsidRPr="00F9433D">
        <w:rPr>
          <w:szCs w:val="28"/>
        </w:rPr>
        <w:t xml:space="preserve">, а такжеростом финансирования </w:t>
      </w:r>
      <w:r w:rsidR="00C86C20" w:rsidRPr="00F9433D">
        <w:rPr>
          <w:szCs w:val="28"/>
        </w:rPr>
        <w:t>на предоставление</w:t>
      </w:r>
      <w:r w:rsidR="00C86C20" w:rsidRPr="00F9433D">
        <w:t xml:space="preserve"> социальных выплат </w:t>
      </w:r>
      <w:r w:rsidR="00C86C20" w:rsidRPr="00F9433D">
        <w:rPr>
          <w:szCs w:val="28"/>
        </w:rPr>
        <w:t>отдельным категориям граждан.</w:t>
      </w:r>
    </w:p>
    <w:p w:rsidR="00326080" w:rsidRPr="00E11944" w:rsidRDefault="00326080" w:rsidP="00C86C20">
      <w:pPr>
        <w:rPr>
          <w:szCs w:val="28"/>
        </w:rPr>
      </w:pPr>
      <w:r w:rsidRPr="00E11944">
        <w:rPr>
          <w:szCs w:val="28"/>
        </w:rPr>
        <w:t>Фактическое исполнение на 31 декабря 20</w:t>
      </w:r>
      <w:r w:rsidR="00535707">
        <w:rPr>
          <w:szCs w:val="28"/>
        </w:rPr>
        <w:t>20</w:t>
      </w:r>
      <w:r w:rsidRPr="00E11944">
        <w:rPr>
          <w:szCs w:val="28"/>
        </w:rPr>
        <w:t xml:space="preserve"> года составило </w:t>
      </w:r>
      <w:r w:rsidR="00F9433D" w:rsidRPr="00F9433D">
        <w:rPr>
          <w:szCs w:val="28"/>
        </w:rPr>
        <w:t>96</w:t>
      </w:r>
      <w:r w:rsidRPr="00F9433D">
        <w:rPr>
          <w:szCs w:val="28"/>
        </w:rPr>
        <w:t xml:space="preserve"> млрд. рублей – </w:t>
      </w:r>
      <w:r w:rsidR="00F9433D">
        <w:rPr>
          <w:szCs w:val="28"/>
        </w:rPr>
        <w:t>93,5</w:t>
      </w:r>
      <w:r w:rsidRPr="00F9433D">
        <w:rPr>
          <w:szCs w:val="28"/>
        </w:rPr>
        <w:t xml:space="preserve">% от запланированных на год </w:t>
      </w:r>
      <w:r w:rsidRPr="004A1BF9">
        <w:rPr>
          <w:szCs w:val="28"/>
        </w:rPr>
        <w:t>объемов (таблица 1).</w:t>
      </w:r>
    </w:p>
    <w:p w:rsidR="009D422E" w:rsidRPr="00D97138" w:rsidRDefault="009D422E" w:rsidP="00326080">
      <w:pPr>
        <w:rPr>
          <w:szCs w:val="28"/>
        </w:rPr>
      </w:pPr>
      <w:r w:rsidRPr="00F9433D">
        <w:rPr>
          <w:szCs w:val="28"/>
        </w:rPr>
        <w:t>По сравнению с результатами 201</w:t>
      </w:r>
      <w:r w:rsidR="00F9433D" w:rsidRPr="00F9433D">
        <w:rPr>
          <w:szCs w:val="28"/>
        </w:rPr>
        <w:t>9</w:t>
      </w:r>
      <w:r w:rsidRPr="00F9433D">
        <w:rPr>
          <w:szCs w:val="28"/>
        </w:rPr>
        <w:t xml:space="preserve"> года степень о</w:t>
      </w:r>
      <w:r w:rsidR="00326080" w:rsidRPr="00F9433D">
        <w:rPr>
          <w:szCs w:val="28"/>
        </w:rPr>
        <w:t>своени</w:t>
      </w:r>
      <w:r w:rsidRPr="00F9433D">
        <w:rPr>
          <w:szCs w:val="28"/>
        </w:rPr>
        <w:t>япредусмотрен</w:t>
      </w:r>
      <w:r w:rsidR="00721BAC" w:rsidRPr="00F9433D">
        <w:rPr>
          <w:szCs w:val="28"/>
        </w:rPr>
        <w:t xml:space="preserve">ных объемов финансовых средств </w:t>
      </w:r>
      <w:r w:rsidR="00390CDF" w:rsidRPr="00F9433D">
        <w:rPr>
          <w:szCs w:val="28"/>
        </w:rPr>
        <w:t>сократилась</w:t>
      </w:r>
      <w:r w:rsidR="002E27FB">
        <w:rPr>
          <w:szCs w:val="28"/>
        </w:rPr>
        <w:t xml:space="preserve"> </w:t>
      </w:r>
      <w:r w:rsidRPr="00F9433D">
        <w:rPr>
          <w:szCs w:val="28"/>
        </w:rPr>
        <w:t>на</w:t>
      </w:r>
      <w:r w:rsidR="002E27FB">
        <w:rPr>
          <w:szCs w:val="28"/>
        </w:rPr>
        <w:t xml:space="preserve"> </w:t>
      </w:r>
      <w:r w:rsidR="00F9433D" w:rsidRPr="00F9433D">
        <w:rPr>
          <w:szCs w:val="28"/>
        </w:rPr>
        <w:t>2,9</w:t>
      </w:r>
      <w:r w:rsidR="002E27FB">
        <w:rPr>
          <w:szCs w:val="28"/>
        </w:rPr>
        <w:t xml:space="preserve"> </w:t>
      </w:r>
      <w:r w:rsidRPr="00F9433D">
        <w:rPr>
          <w:szCs w:val="28"/>
        </w:rPr>
        <w:lastRenderedPageBreak/>
        <w:t>п.п</w:t>
      </w:r>
      <w:r w:rsidRPr="00D97138">
        <w:rPr>
          <w:szCs w:val="28"/>
        </w:rPr>
        <w:t xml:space="preserve">., в том числе за </w:t>
      </w:r>
      <w:r w:rsidR="00561404" w:rsidRPr="00D97138">
        <w:rPr>
          <w:szCs w:val="28"/>
        </w:rPr>
        <w:t xml:space="preserve">счет </w:t>
      </w:r>
      <w:r w:rsidR="00390CDF" w:rsidRPr="00D97138">
        <w:rPr>
          <w:szCs w:val="28"/>
        </w:rPr>
        <w:t>снижения</w:t>
      </w:r>
      <w:r w:rsidR="00FF4159" w:rsidRPr="00D97138">
        <w:rPr>
          <w:szCs w:val="28"/>
        </w:rPr>
        <w:t xml:space="preserve"> уровня освоения </w:t>
      </w:r>
      <w:r w:rsidRPr="00D97138">
        <w:rPr>
          <w:szCs w:val="28"/>
        </w:rPr>
        <w:t>средств</w:t>
      </w:r>
      <w:r w:rsidR="002E27FB">
        <w:rPr>
          <w:szCs w:val="28"/>
        </w:rPr>
        <w:t xml:space="preserve"> </w:t>
      </w:r>
      <w:r w:rsidR="00390CDF" w:rsidRPr="00D97138">
        <w:rPr>
          <w:szCs w:val="28"/>
        </w:rPr>
        <w:t xml:space="preserve">ОБ - на </w:t>
      </w:r>
      <w:r w:rsidR="00D97138" w:rsidRPr="00D97138">
        <w:rPr>
          <w:szCs w:val="28"/>
        </w:rPr>
        <w:t>2,4</w:t>
      </w:r>
      <w:r w:rsidR="002E27FB">
        <w:rPr>
          <w:szCs w:val="28"/>
        </w:rPr>
        <w:t xml:space="preserve"> </w:t>
      </w:r>
      <w:r w:rsidR="00390CDF" w:rsidRPr="00D97138">
        <w:rPr>
          <w:szCs w:val="28"/>
        </w:rPr>
        <w:t xml:space="preserve">п.п., </w:t>
      </w:r>
      <w:r w:rsidR="00D97138" w:rsidRPr="00D97138">
        <w:rPr>
          <w:szCs w:val="28"/>
        </w:rPr>
        <w:t xml:space="preserve">ФБ – на 2,1 п.п., </w:t>
      </w:r>
      <w:r w:rsidR="00390CDF" w:rsidRPr="00D97138">
        <w:rPr>
          <w:szCs w:val="28"/>
        </w:rPr>
        <w:t xml:space="preserve">ВБС -на </w:t>
      </w:r>
      <w:r w:rsidR="00D97138" w:rsidRPr="00D97138">
        <w:rPr>
          <w:szCs w:val="28"/>
        </w:rPr>
        <w:t>5,3</w:t>
      </w:r>
      <w:r w:rsidR="002E27FB">
        <w:rPr>
          <w:szCs w:val="28"/>
        </w:rPr>
        <w:t xml:space="preserve"> </w:t>
      </w:r>
      <w:r w:rsidR="00390CDF" w:rsidRPr="00D97138">
        <w:rPr>
          <w:szCs w:val="28"/>
        </w:rPr>
        <w:t xml:space="preserve">п.п. </w:t>
      </w:r>
    </w:p>
    <w:p w:rsidR="0041268A" w:rsidRDefault="0041268A" w:rsidP="00326080">
      <w:pPr>
        <w:jc w:val="right"/>
        <w:rPr>
          <w:sz w:val="24"/>
          <w:szCs w:val="24"/>
        </w:rPr>
      </w:pPr>
    </w:p>
    <w:p w:rsidR="00326080" w:rsidRPr="00E11944" w:rsidRDefault="00326080" w:rsidP="00326080">
      <w:pPr>
        <w:jc w:val="right"/>
        <w:rPr>
          <w:sz w:val="24"/>
          <w:szCs w:val="24"/>
        </w:rPr>
      </w:pPr>
      <w:r w:rsidRPr="00E11944">
        <w:rPr>
          <w:sz w:val="24"/>
          <w:szCs w:val="24"/>
        </w:rPr>
        <w:t>Таблица 1</w:t>
      </w:r>
    </w:p>
    <w:tbl>
      <w:tblPr>
        <w:tblW w:w="9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04"/>
        <w:gridCol w:w="2275"/>
        <w:gridCol w:w="1824"/>
        <w:gridCol w:w="2122"/>
      </w:tblGrid>
      <w:tr w:rsidR="00326080" w:rsidRPr="00E11944" w:rsidTr="00CF1CD7">
        <w:trPr>
          <w:trHeight w:val="20"/>
          <w:jc w:val="center"/>
        </w:trPr>
        <w:tc>
          <w:tcPr>
            <w:tcW w:w="31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26080" w:rsidRPr="00E11944" w:rsidRDefault="00326080" w:rsidP="003443E8">
            <w:pPr>
              <w:ind w:firstLine="0"/>
              <w:jc w:val="center"/>
              <w:rPr>
                <w:color w:val="000000"/>
                <w:sz w:val="24"/>
              </w:rPr>
            </w:pPr>
            <w:r w:rsidRPr="00E11944">
              <w:rPr>
                <w:color w:val="000000"/>
                <w:sz w:val="24"/>
                <w:szCs w:val="24"/>
              </w:rPr>
              <w:t>Всего по государственным программам</w:t>
            </w:r>
          </w:p>
        </w:tc>
        <w:tc>
          <w:tcPr>
            <w:tcW w:w="2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26080" w:rsidRPr="00E11944" w:rsidRDefault="00326080" w:rsidP="003443E8">
            <w:pPr>
              <w:ind w:firstLine="0"/>
              <w:jc w:val="center"/>
              <w:rPr>
                <w:color w:val="000000"/>
                <w:sz w:val="24"/>
              </w:rPr>
            </w:pPr>
            <w:r w:rsidRPr="00E11944">
              <w:rPr>
                <w:color w:val="000000"/>
                <w:sz w:val="24"/>
              </w:rPr>
              <w:t>Запланировано на год,</w:t>
            </w:r>
            <w:r w:rsidRPr="00E11944">
              <w:rPr>
                <w:sz w:val="24"/>
                <w:szCs w:val="24"/>
              </w:rPr>
              <w:t xml:space="preserve"> млн. рублей</w:t>
            </w:r>
          </w:p>
        </w:tc>
        <w:tc>
          <w:tcPr>
            <w:tcW w:w="18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26080" w:rsidRPr="00E11944" w:rsidRDefault="00326080" w:rsidP="003443E8">
            <w:pPr>
              <w:ind w:firstLine="0"/>
              <w:jc w:val="center"/>
              <w:rPr>
                <w:color w:val="000000"/>
                <w:sz w:val="24"/>
              </w:rPr>
            </w:pPr>
            <w:r w:rsidRPr="00E11944">
              <w:rPr>
                <w:color w:val="000000"/>
                <w:sz w:val="24"/>
              </w:rPr>
              <w:t>Исполнение,</w:t>
            </w:r>
            <w:r w:rsidRPr="00E11944">
              <w:rPr>
                <w:sz w:val="24"/>
                <w:szCs w:val="24"/>
              </w:rPr>
              <w:t xml:space="preserve"> млн. рублей</w:t>
            </w:r>
          </w:p>
        </w:tc>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26080" w:rsidRPr="00E11944" w:rsidRDefault="00326080" w:rsidP="003443E8">
            <w:pPr>
              <w:ind w:firstLine="0"/>
              <w:jc w:val="center"/>
              <w:rPr>
                <w:color w:val="000000"/>
                <w:sz w:val="24"/>
              </w:rPr>
            </w:pPr>
            <w:r w:rsidRPr="00E11944">
              <w:rPr>
                <w:color w:val="000000"/>
                <w:sz w:val="24"/>
              </w:rPr>
              <w:t>Степень освоения средств</w:t>
            </w:r>
          </w:p>
        </w:tc>
      </w:tr>
      <w:tr w:rsidR="00D943A6" w:rsidRPr="00E11944" w:rsidTr="00CF1CD7">
        <w:trPr>
          <w:trHeight w:val="20"/>
          <w:jc w:val="center"/>
        </w:trPr>
        <w:tc>
          <w:tcPr>
            <w:tcW w:w="31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43A6" w:rsidRPr="00E11944" w:rsidRDefault="00D943A6" w:rsidP="00535707">
            <w:pPr>
              <w:ind w:firstLine="0"/>
              <w:jc w:val="left"/>
              <w:rPr>
                <w:color w:val="000000"/>
                <w:sz w:val="24"/>
                <w:szCs w:val="24"/>
              </w:rPr>
            </w:pPr>
            <w:r w:rsidRPr="00E11944">
              <w:rPr>
                <w:color w:val="000000"/>
                <w:sz w:val="24"/>
                <w:szCs w:val="24"/>
              </w:rPr>
              <w:t>Всего</w:t>
            </w:r>
            <w:r w:rsidRPr="00E11944">
              <w:rPr>
                <w:b/>
                <w:color w:val="000000"/>
                <w:sz w:val="24"/>
                <w:szCs w:val="24"/>
              </w:rPr>
              <w:t xml:space="preserve"> за 20</w:t>
            </w:r>
            <w:r w:rsidR="00535707">
              <w:rPr>
                <w:b/>
                <w:color w:val="000000"/>
                <w:sz w:val="24"/>
                <w:szCs w:val="24"/>
              </w:rPr>
              <w:t>20</w:t>
            </w:r>
            <w:r w:rsidRPr="00E11944">
              <w:rPr>
                <w:b/>
                <w:color w:val="000000"/>
                <w:sz w:val="24"/>
                <w:szCs w:val="24"/>
              </w:rPr>
              <w:t xml:space="preserve"> год</w:t>
            </w:r>
            <w:r w:rsidRPr="00E11944">
              <w:rPr>
                <w:color w:val="000000"/>
                <w:sz w:val="24"/>
                <w:szCs w:val="24"/>
              </w:rPr>
              <w:t>, в т.ч</w:t>
            </w:r>
            <w:r w:rsidR="00212D1E" w:rsidRPr="00E11944">
              <w:rPr>
                <w:color w:val="000000"/>
                <w:sz w:val="24"/>
                <w:szCs w:val="24"/>
              </w:rPr>
              <w:t>.</w:t>
            </w:r>
            <w:r w:rsidRPr="00E11944">
              <w:rPr>
                <w:color w:val="000000"/>
                <w:sz w:val="24"/>
                <w:szCs w:val="24"/>
              </w:rPr>
              <w:t>:</w:t>
            </w:r>
          </w:p>
        </w:tc>
        <w:tc>
          <w:tcPr>
            <w:tcW w:w="2275" w:type="dxa"/>
            <w:tcBorders>
              <w:top w:val="single" w:sz="4" w:space="0" w:color="auto"/>
              <w:left w:val="single" w:sz="4" w:space="0" w:color="auto"/>
              <w:bottom w:val="single" w:sz="4" w:space="0" w:color="auto"/>
              <w:right w:val="single" w:sz="4" w:space="0" w:color="auto"/>
            </w:tcBorders>
            <w:shd w:val="clear" w:color="auto" w:fill="auto"/>
            <w:noWrap/>
          </w:tcPr>
          <w:p w:rsidR="00D943A6" w:rsidRPr="00E11944" w:rsidRDefault="00D97138" w:rsidP="00390CDF">
            <w:pPr>
              <w:ind w:firstLine="0"/>
              <w:jc w:val="right"/>
              <w:rPr>
                <w:b/>
                <w:sz w:val="24"/>
                <w:szCs w:val="24"/>
              </w:rPr>
            </w:pPr>
            <w:r>
              <w:rPr>
                <w:b/>
                <w:sz w:val="24"/>
                <w:szCs w:val="24"/>
              </w:rPr>
              <w:t>102 622,5</w:t>
            </w:r>
          </w:p>
        </w:tc>
        <w:tc>
          <w:tcPr>
            <w:tcW w:w="1824" w:type="dxa"/>
            <w:tcBorders>
              <w:top w:val="single" w:sz="4" w:space="0" w:color="auto"/>
              <w:left w:val="single" w:sz="4" w:space="0" w:color="auto"/>
              <w:bottom w:val="single" w:sz="4" w:space="0" w:color="auto"/>
              <w:right w:val="single" w:sz="4" w:space="0" w:color="auto"/>
            </w:tcBorders>
            <w:shd w:val="clear" w:color="auto" w:fill="auto"/>
            <w:noWrap/>
          </w:tcPr>
          <w:p w:rsidR="00D943A6" w:rsidRPr="00E11944" w:rsidRDefault="00D97138" w:rsidP="00436A5C">
            <w:pPr>
              <w:jc w:val="right"/>
              <w:rPr>
                <w:b/>
                <w:color w:val="000000"/>
                <w:sz w:val="24"/>
                <w:szCs w:val="24"/>
              </w:rPr>
            </w:pPr>
            <w:r>
              <w:rPr>
                <w:b/>
                <w:color w:val="000000"/>
                <w:sz w:val="24"/>
                <w:szCs w:val="24"/>
              </w:rPr>
              <w:t>95 966,4</w:t>
            </w:r>
          </w:p>
        </w:tc>
        <w:tc>
          <w:tcPr>
            <w:tcW w:w="2122" w:type="dxa"/>
            <w:tcBorders>
              <w:top w:val="single" w:sz="4" w:space="0" w:color="auto"/>
              <w:left w:val="single" w:sz="4" w:space="0" w:color="auto"/>
              <w:bottom w:val="single" w:sz="4" w:space="0" w:color="auto"/>
              <w:right w:val="single" w:sz="4" w:space="0" w:color="auto"/>
            </w:tcBorders>
            <w:shd w:val="clear" w:color="auto" w:fill="auto"/>
            <w:noWrap/>
          </w:tcPr>
          <w:p w:rsidR="00D943A6" w:rsidRPr="00E11944" w:rsidRDefault="00D97138" w:rsidP="00CF1CD7">
            <w:pPr>
              <w:ind w:firstLine="0"/>
              <w:jc w:val="center"/>
              <w:rPr>
                <w:b/>
                <w:sz w:val="24"/>
                <w:szCs w:val="24"/>
              </w:rPr>
            </w:pPr>
            <w:r>
              <w:rPr>
                <w:b/>
                <w:sz w:val="24"/>
                <w:szCs w:val="24"/>
              </w:rPr>
              <w:t>93,5%</w:t>
            </w:r>
          </w:p>
        </w:tc>
      </w:tr>
      <w:tr w:rsidR="00D943A6" w:rsidRPr="00E11944" w:rsidTr="00CF1CD7">
        <w:trPr>
          <w:trHeight w:val="195"/>
          <w:jc w:val="center"/>
        </w:trPr>
        <w:tc>
          <w:tcPr>
            <w:tcW w:w="3104" w:type="dxa"/>
            <w:tcBorders>
              <w:top w:val="single" w:sz="4" w:space="0" w:color="auto"/>
              <w:left w:val="single" w:sz="4" w:space="0" w:color="auto"/>
              <w:bottom w:val="single" w:sz="4" w:space="0" w:color="auto"/>
              <w:right w:val="single" w:sz="4" w:space="0" w:color="auto"/>
            </w:tcBorders>
            <w:shd w:val="clear" w:color="auto" w:fill="auto"/>
            <w:noWrap/>
          </w:tcPr>
          <w:p w:rsidR="00D943A6" w:rsidRPr="00E11944" w:rsidRDefault="00D943A6" w:rsidP="008C7488">
            <w:pPr>
              <w:ind w:firstLine="0"/>
              <w:jc w:val="right"/>
              <w:rPr>
                <w:color w:val="000000"/>
                <w:sz w:val="24"/>
                <w:szCs w:val="24"/>
              </w:rPr>
            </w:pPr>
            <w:r w:rsidRPr="00E11944">
              <w:rPr>
                <w:color w:val="000000"/>
                <w:sz w:val="24"/>
                <w:szCs w:val="24"/>
              </w:rPr>
              <w:t>ОБ</w:t>
            </w:r>
          </w:p>
        </w:tc>
        <w:tc>
          <w:tcPr>
            <w:tcW w:w="2275" w:type="dxa"/>
            <w:tcBorders>
              <w:top w:val="single" w:sz="4" w:space="0" w:color="auto"/>
              <w:left w:val="single" w:sz="4" w:space="0" w:color="auto"/>
              <w:bottom w:val="single" w:sz="4" w:space="0" w:color="auto"/>
              <w:right w:val="single" w:sz="4" w:space="0" w:color="auto"/>
            </w:tcBorders>
            <w:shd w:val="clear" w:color="auto" w:fill="auto"/>
            <w:noWrap/>
          </w:tcPr>
          <w:p w:rsidR="00D943A6" w:rsidRPr="00E11944" w:rsidRDefault="00D97138" w:rsidP="00390CDF">
            <w:pPr>
              <w:ind w:firstLine="0"/>
              <w:jc w:val="right"/>
              <w:rPr>
                <w:color w:val="000000"/>
                <w:sz w:val="24"/>
                <w:szCs w:val="24"/>
              </w:rPr>
            </w:pPr>
            <w:r>
              <w:rPr>
                <w:color w:val="000000"/>
                <w:sz w:val="24"/>
                <w:szCs w:val="24"/>
              </w:rPr>
              <w:t>69 185,6</w:t>
            </w:r>
          </w:p>
        </w:tc>
        <w:tc>
          <w:tcPr>
            <w:tcW w:w="1824" w:type="dxa"/>
            <w:tcBorders>
              <w:top w:val="single" w:sz="4" w:space="0" w:color="auto"/>
              <w:left w:val="single" w:sz="4" w:space="0" w:color="auto"/>
              <w:bottom w:val="single" w:sz="4" w:space="0" w:color="auto"/>
              <w:right w:val="single" w:sz="4" w:space="0" w:color="auto"/>
            </w:tcBorders>
            <w:shd w:val="clear" w:color="auto" w:fill="auto"/>
            <w:noWrap/>
          </w:tcPr>
          <w:p w:rsidR="00D943A6" w:rsidRPr="00E11944" w:rsidRDefault="00D97138" w:rsidP="00390CDF">
            <w:pPr>
              <w:ind w:firstLine="0"/>
              <w:jc w:val="right"/>
              <w:rPr>
                <w:color w:val="000000"/>
                <w:sz w:val="24"/>
                <w:szCs w:val="24"/>
              </w:rPr>
            </w:pPr>
            <w:r>
              <w:rPr>
                <w:color w:val="000000"/>
                <w:sz w:val="24"/>
                <w:szCs w:val="24"/>
              </w:rPr>
              <w:t>65349,9</w:t>
            </w:r>
          </w:p>
        </w:tc>
        <w:tc>
          <w:tcPr>
            <w:tcW w:w="2122" w:type="dxa"/>
            <w:tcBorders>
              <w:top w:val="single" w:sz="4" w:space="0" w:color="auto"/>
              <w:left w:val="single" w:sz="4" w:space="0" w:color="auto"/>
              <w:bottom w:val="single" w:sz="4" w:space="0" w:color="auto"/>
              <w:right w:val="single" w:sz="4" w:space="0" w:color="auto"/>
            </w:tcBorders>
            <w:shd w:val="clear" w:color="auto" w:fill="auto"/>
            <w:noWrap/>
          </w:tcPr>
          <w:p w:rsidR="00D943A6" w:rsidRPr="00E11944" w:rsidRDefault="00D97138" w:rsidP="00390CDF">
            <w:pPr>
              <w:ind w:firstLine="0"/>
              <w:jc w:val="center"/>
              <w:rPr>
                <w:color w:val="000000"/>
                <w:sz w:val="24"/>
                <w:szCs w:val="24"/>
              </w:rPr>
            </w:pPr>
            <w:r>
              <w:rPr>
                <w:color w:val="000000"/>
                <w:sz w:val="24"/>
                <w:szCs w:val="24"/>
              </w:rPr>
              <w:t>94,5%</w:t>
            </w:r>
          </w:p>
        </w:tc>
      </w:tr>
      <w:tr w:rsidR="00D943A6" w:rsidRPr="00E11944" w:rsidTr="00CF1CD7">
        <w:trPr>
          <w:trHeight w:val="131"/>
          <w:jc w:val="center"/>
        </w:trPr>
        <w:tc>
          <w:tcPr>
            <w:tcW w:w="3104" w:type="dxa"/>
            <w:tcBorders>
              <w:top w:val="single" w:sz="4" w:space="0" w:color="auto"/>
              <w:left w:val="single" w:sz="4" w:space="0" w:color="auto"/>
              <w:bottom w:val="single" w:sz="4" w:space="0" w:color="auto"/>
              <w:right w:val="single" w:sz="4" w:space="0" w:color="auto"/>
            </w:tcBorders>
            <w:shd w:val="clear" w:color="auto" w:fill="auto"/>
            <w:noWrap/>
          </w:tcPr>
          <w:p w:rsidR="00D943A6" w:rsidRPr="00E11944" w:rsidRDefault="00D943A6" w:rsidP="008C7488">
            <w:pPr>
              <w:ind w:firstLine="0"/>
              <w:jc w:val="right"/>
              <w:rPr>
                <w:color w:val="000000"/>
                <w:sz w:val="24"/>
                <w:szCs w:val="24"/>
              </w:rPr>
            </w:pPr>
            <w:r w:rsidRPr="00E11944">
              <w:rPr>
                <w:color w:val="000000"/>
                <w:sz w:val="24"/>
                <w:szCs w:val="24"/>
              </w:rPr>
              <w:t>ФБ</w:t>
            </w:r>
          </w:p>
        </w:tc>
        <w:tc>
          <w:tcPr>
            <w:tcW w:w="2275" w:type="dxa"/>
            <w:tcBorders>
              <w:top w:val="single" w:sz="4" w:space="0" w:color="auto"/>
              <w:left w:val="single" w:sz="4" w:space="0" w:color="auto"/>
              <w:bottom w:val="single" w:sz="4" w:space="0" w:color="auto"/>
              <w:right w:val="single" w:sz="4" w:space="0" w:color="auto"/>
            </w:tcBorders>
            <w:shd w:val="clear" w:color="auto" w:fill="auto"/>
            <w:noWrap/>
          </w:tcPr>
          <w:p w:rsidR="00D943A6" w:rsidRPr="00E11944" w:rsidRDefault="00D97138" w:rsidP="008C7488">
            <w:pPr>
              <w:jc w:val="right"/>
              <w:rPr>
                <w:color w:val="000000"/>
                <w:sz w:val="24"/>
                <w:szCs w:val="24"/>
              </w:rPr>
            </w:pPr>
            <w:r>
              <w:rPr>
                <w:color w:val="000000"/>
                <w:sz w:val="24"/>
                <w:szCs w:val="24"/>
              </w:rPr>
              <w:t>13 109,5</w:t>
            </w:r>
          </w:p>
        </w:tc>
        <w:tc>
          <w:tcPr>
            <w:tcW w:w="1824" w:type="dxa"/>
            <w:tcBorders>
              <w:top w:val="single" w:sz="4" w:space="0" w:color="auto"/>
              <w:left w:val="single" w:sz="4" w:space="0" w:color="auto"/>
              <w:bottom w:val="single" w:sz="4" w:space="0" w:color="auto"/>
              <w:right w:val="single" w:sz="4" w:space="0" w:color="auto"/>
            </w:tcBorders>
            <w:shd w:val="clear" w:color="auto" w:fill="auto"/>
            <w:noWrap/>
          </w:tcPr>
          <w:p w:rsidR="00D943A6" w:rsidRPr="00E11944" w:rsidRDefault="00D97138" w:rsidP="008C7488">
            <w:pPr>
              <w:jc w:val="right"/>
              <w:rPr>
                <w:color w:val="000000"/>
                <w:sz w:val="24"/>
                <w:szCs w:val="24"/>
              </w:rPr>
            </w:pPr>
            <w:r>
              <w:rPr>
                <w:color w:val="000000"/>
                <w:sz w:val="24"/>
                <w:szCs w:val="24"/>
              </w:rPr>
              <w:t>12 094,1</w:t>
            </w:r>
          </w:p>
        </w:tc>
        <w:tc>
          <w:tcPr>
            <w:tcW w:w="2122" w:type="dxa"/>
            <w:tcBorders>
              <w:top w:val="single" w:sz="4" w:space="0" w:color="auto"/>
              <w:left w:val="single" w:sz="4" w:space="0" w:color="auto"/>
              <w:bottom w:val="single" w:sz="4" w:space="0" w:color="auto"/>
              <w:right w:val="single" w:sz="4" w:space="0" w:color="auto"/>
            </w:tcBorders>
            <w:shd w:val="clear" w:color="auto" w:fill="auto"/>
            <w:noWrap/>
          </w:tcPr>
          <w:p w:rsidR="00D943A6" w:rsidRPr="00E11944" w:rsidRDefault="00D97138" w:rsidP="00390CDF">
            <w:pPr>
              <w:ind w:firstLine="0"/>
              <w:jc w:val="center"/>
              <w:rPr>
                <w:color w:val="000000"/>
                <w:sz w:val="24"/>
                <w:szCs w:val="24"/>
              </w:rPr>
            </w:pPr>
            <w:r>
              <w:rPr>
                <w:color w:val="000000"/>
                <w:sz w:val="24"/>
                <w:szCs w:val="24"/>
              </w:rPr>
              <w:t>92,3%</w:t>
            </w:r>
          </w:p>
        </w:tc>
      </w:tr>
      <w:tr w:rsidR="00212D1E" w:rsidRPr="00E11944" w:rsidTr="00CF1CD7">
        <w:trPr>
          <w:trHeight w:val="20"/>
          <w:jc w:val="center"/>
        </w:trPr>
        <w:tc>
          <w:tcPr>
            <w:tcW w:w="3104" w:type="dxa"/>
            <w:tcBorders>
              <w:top w:val="single" w:sz="4" w:space="0" w:color="auto"/>
              <w:left w:val="single" w:sz="4" w:space="0" w:color="auto"/>
              <w:bottom w:val="single" w:sz="4" w:space="0" w:color="auto"/>
              <w:right w:val="single" w:sz="4" w:space="0" w:color="auto"/>
            </w:tcBorders>
            <w:shd w:val="clear" w:color="auto" w:fill="auto"/>
            <w:noWrap/>
          </w:tcPr>
          <w:p w:rsidR="00212D1E" w:rsidRPr="00E11944" w:rsidRDefault="00212D1E" w:rsidP="008C7488">
            <w:pPr>
              <w:ind w:firstLine="0"/>
              <w:jc w:val="right"/>
              <w:rPr>
                <w:color w:val="000000"/>
                <w:sz w:val="24"/>
                <w:szCs w:val="24"/>
              </w:rPr>
            </w:pPr>
            <w:r w:rsidRPr="00E11944">
              <w:rPr>
                <w:color w:val="000000"/>
                <w:sz w:val="24"/>
                <w:szCs w:val="24"/>
              </w:rPr>
              <w:t>МБ</w:t>
            </w:r>
          </w:p>
        </w:tc>
        <w:tc>
          <w:tcPr>
            <w:tcW w:w="2275" w:type="dxa"/>
            <w:tcBorders>
              <w:top w:val="single" w:sz="4" w:space="0" w:color="auto"/>
              <w:left w:val="single" w:sz="4" w:space="0" w:color="auto"/>
              <w:bottom w:val="single" w:sz="4" w:space="0" w:color="auto"/>
              <w:right w:val="single" w:sz="4" w:space="0" w:color="auto"/>
            </w:tcBorders>
            <w:shd w:val="clear" w:color="auto" w:fill="auto"/>
            <w:noWrap/>
          </w:tcPr>
          <w:p w:rsidR="00212D1E" w:rsidRPr="00E11944" w:rsidRDefault="00D97138" w:rsidP="008C7488">
            <w:pPr>
              <w:jc w:val="right"/>
              <w:rPr>
                <w:color w:val="000000"/>
                <w:sz w:val="24"/>
                <w:szCs w:val="24"/>
              </w:rPr>
            </w:pPr>
            <w:r>
              <w:rPr>
                <w:color w:val="000000"/>
                <w:sz w:val="24"/>
                <w:szCs w:val="24"/>
              </w:rPr>
              <w:t>860,8</w:t>
            </w:r>
          </w:p>
        </w:tc>
        <w:tc>
          <w:tcPr>
            <w:tcW w:w="1824" w:type="dxa"/>
            <w:tcBorders>
              <w:top w:val="single" w:sz="4" w:space="0" w:color="auto"/>
              <w:left w:val="single" w:sz="4" w:space="0" w:color="auto"/>
              <w:bottom w:val="single" w:sz="4" w:space="0" w:color="auto"/>
              <w:right w:val="single" w:sz="4" w:space="0" w:color="auto"/>
            </w:tcBorders>
            <w:shd w:val="clear" w:color="auto" w:fill="auto"/>
            <w:noWrap/>
          </w:tcPr>
          <w:p w:rsidR="00212D1E" w:rsidRPr="00E11944" w:rsidRDefault="00D97138" w:rsidP="008C7488">
            <w:pPr>
              <w:jc w:val="right"/>
              <w:rPr>
                <w:color w:val="000000"/>
                <w:sz w:val="24"/>
                <w:szCs w:val="24"/>
              </w:rPr>
            </w:pPr>
            <w:r>
              <w:rPr>
                <w:color w:val="000000"/>
                <w:sz w:val="24"/>
                <w:szCs w:val="24"/>
              </w:rPr>
              <w:t>716,6</w:t>
            </w:r>
          </w:p>
        </w:tc>
        <w:tc>
          <w:tcPr>
            <w:tcW w:w="2122" w:type="dxa"/>
            <w:tcBorders>
              <w:top w:val="single" w:sz="4" w:space="0" w:color="auto"/>
              <w:left w:val="single" w:sz="4" w:space="0" w:color="auto"/>
              <w:bottom w:val="single" w:sz="4" w:space="0" w:color="auto"/>
              <w:right w:val="single" w:sz="4" w:space="0" w:color="auto"/>
            </w:tcBorders>
            <w:shd w:val="clear" w:color="auto" w:fill="auto"/>
            <w:noWrap/>
          </w:tcPr>
          <w:p w:rsidR="00212D1E" w:rsidRPr="00E11944" w:rsidRDefault="00D97138" w:rsidP="008C7488">
            <w:pPr>
              <w:ind w:firstLine="0"/>
              <w:jc w:val="center"/>
              <w:rPr>
                <w:color w:val="000000"/>
                <w:sz w:val="24"/>
                <w:szCs w:val="24"/>
              </w:rPr>
            </w:pPr>
            <w:r>
              <w:rPr>
                <w:color w:val="000000"/>
                <w:sz w:val="24"/>
                <w:szCs w:val="24"/>
              </w:rPr>
              <w:t>83,2%</w:t>
            </w:r>
          </w:p>
        </w:tc>
      </w:tr>
      <w:tr w:rsidR="00212D1E" w:rsidRPr="00E11944" w:rsidTr="00CF1CD7">
        <w:trPr>
          <w:trHeight w:val="20"/>
          <w:jc w:val="center"/>
        </w:trPr>
        <w:tc>
          <w:tcPr>
            <w:tcW w:w="3104" w:type="dxa"/>
            <w:tcBorders>
              <w:top w:val="single" w:sz="4" w:space="0" w:color="auto"/>
              <w:left w:val="single" w:sz="4" w:space="0" w:color="auto"/>
              <w:bottom w:val="single" w:sz="4" w:space="0" w:color="auto"/>
              <w:right w:val="single" w:sz="4" w:space="0" w:color="auto"/>
            </w:tcBorders>
            <w:shd w:val="clear" w:color="auto" w:fill="auto"/>
            <w:noWrap/>
          </w:tcPr>
          <w:p w:rsidR="00212D1E" w:rsidRPr="00E11944" w:rsidRDefault="00212D1E" w:rsidP="008C7488">
            <w:pPr>
              <w:ind w:firstLine="0"/>
              <w:jc w:val="right"/>
              <w:rPr>
                <w:color w:val="000000"/>
                <w:sz w:val="24"/>
                <w:szCs w:val="24"/>
              </w:rPr>
            </w:pPr>
            <w:r w:rsidRPr="00E11944">
              <w:rPr>
                <w:color w:val="000000"/>
                <w:sz w:val="24"/>
                <w:szCs w:val="24"/>
              </w:rPr>
              <w:t>ВБС</w:t>
            </w:r>
          </w:p>
        </w:tc>
        <w:tc>
          <w:tcPr>
            <w:tcW w:w="2275" w:type="dxa"/>
            <w:tcBorders>
              <w:top w:val="single" w:sz="4" w:space="0" w:color="auto"/>
              <w:left w:val="single" w:sz="4" w:space="0" w:color="auto"/>
              <w:bottom w:val="single" w:sz="4" w:space="0" w:color="auto"/>
              <w:right w:val="single" w:sz="4" w:space="0" w:color="auto"/>
            </w:tcBorders>
            <w:shd w:val="clear" w:color="auto" w:fill="auto"/>
            <w:noWrap/>
          </w:tcPr>
          <w:p w:rsidR="00212D1E" w:rsidRPr="00E11944" w:rsidRDefault="00D97138" w:rsidP="008C7488">
            <w:pPr>
              <w:jc w:val="right"/>
              <w:rPr>
                <w:color w:val="000000"/>
                <w:sz w:val="24"/>
                <w:szCs w:val="24"/>
              </w:rPr>
            </w:pPr>
            <w:r>
              <w:rPr>
                <w:color w:val="000000"/>
                <w:sz w:val="24"/>
                <w:szCs w:val="24"/>
              </w:rPr>
              <w:t>19 466,6</w:t>
            </w:r>
          </w:p>
        </w:tc>
        <w:tc>
          <w:tcPr>
            <w:tcW w:w="1824" w:type="dxa"/>
            <w:tcBorders>
              <w:top w:val="single" w:sz="4" w:space="0" w:color="auto"/>
              <w:left w:val="single" w:sz="4" w:space="0" w:color="auto"/>
              <w:bottom w:val="single" w:sz="4" w:space="0" w:color="auto"/>
              <w:right w:val="single" w:sz="4" w:space="0" w:color="auto"/>
            </w:tcBorders>
            <w:shd w:val="clear" w:color="auto" w:fill="auto"/>
            <w:noWrap/>
          </w:tcPr>
          <w:p w:rsidR="00212D1E" w:rsidRPr="00E11944" w:rsidRDefault="00D97138" w:rsidP="00CF1CD7">
            <w:pPr>
              <w:jc w:val="right"/>
              <w:rPr>
                <w:color w:val="000000"/>
                <w:sz w:val="24"/>
                <w:szCs w:val="24"/>
              </w:rPr>
            </w:pPr>
            <w:r>
              <w:rPr>
                <w:color w:val="000000"/>
                <w:sz w:val="24"/>
                <w:szCs w:val="24"/>
              </w:rPr>
              <w:t>17 805,8</w:t>
            </w:r>
          </w:p>
        </w:tc>
        <w:tc>
          <w:tcPr>
            <w:tcW w:w="2122" w:type="dxa"/>
            <w:tcBorders>
              <w:top w:val="single" w:sz="4" w:space="0" w:color="auto"/>
              <w:left w:val="single" w:sz="4" w:space="0" w:color="auto"/>
              <w:bottom w:val="single" w:sz="4" w:space="0" w:color="auto"/>
              <w:right w:val="single" w:sz="4" w:space="0" w:color="auto"/>
            </w:tcBorders>
            <w:shd w:val="clear" w:color="auto" w:fill="auto"/>
            <w:noWrap/>
          </w:tcPr>
          <w:p w:rsidR="00212D1E" w:rsidRPr="00E11944" w:rsidRDefault="00D97138" w:rsidP="008C7488">
            <w:pPr>
              <w:ind w:firstLine="0"/>
              <w:jc w:val="center"/>
              <w:rPr>
                <w:color w:val="000000"/>
                <w:sz w:val="24"/>
                <w:szCs w:val="24"/>
              </w:rPr>
            </w:pPr>
            <w:r>
              <w:rPr>
                <w:color w:val="000000"/>
                <w:sz w:val="24"/>
                <w:szCs w:val="24"/>
              </w:rPr>
              <w:t>91,5%</w:t>
            </w:r>
          </w:p>
        </w:tc>
      </w:tr>
      <w:tr w:rsidR="00535707" w:rsidRPr="00E11944" w:rsidTr="00DD7DC8">
        <w:trPr>
          <w:trHeight w:val="20"/>
          <w:jc w:val="center"/>
        </w:trPr>
        <w:tc>
          <w:tcPr>
            <w:tcW w:w="3104" w:type="dxa"/>
            <w:shd w:val="clear" w:color="auto" w:fill="auto"/>
            <w:noWrap/>
            <w:vAlign w:val="center"/>
            <w:hideMark/>
          </w:tcPr>
          <w:p w:rsidR="00535707" w:rsidRPr="00D97138" w:rsidRDefault="00535707" w:rsidP="00535707">
            <w:pPr>
              <w:ind w:firstLine="0"/>
              <w:jc w:val="left"/>
              <w:rPr>
                <w:color w:val="000000"/>
                <w:sz w:val="24"/>
                <w:szCs w:val="24"/>
              </w:rPr>
            </w:pPr>
            <w:r w:rsidRPr="00D97138">
              <w:rPr>
                <w:color w:val="000000"/>
                <w:sz w:val="24"/>
                <w:szCs w:val="24"/>
              </w:rPr>
              <w:t>Всего</w:t>
            </w:r>
            <w:r w:rsidRPr="00D97138">
              <w:rPr>
                <w:b/>
                <w:color w:val="000000"/>
                <w:sz w:val="24"/>
                <w:szCs w:val="24"/>
              </w:rPr>
              <w:t xml:space="preserve"> за 2019 год</w:t>
            </w:r>
            <w:r w:rsidRPr="00D97138">
              <w:rPr>
                <w:color w:val="000000"/>
                <w:sz w:val="24"/>
                <w:szCs w:val="24"/>
              </w:rPr>
              <w:t>, в т.ч:</w:t>
            </w:r>
          </w:p>
        </w:tc>
        <w:tc>
          <w:tcPr>
            <w:tcW w:w="2275" w:type="dxa"/>
            <w:shd w:val="clear" w:color="auto" w:fill="auto"/>
            <w:noWrap/>
            <w:hideMark/>
          </w:tcPr>
          <w:p w:rsidR="00535707" w:rsidRPr="00D97138" w:rsidRDefault="00535707" w:rsidP="00DD7DC8">
            <w:pPr>
              <w:ind w:firstLine="0"/>
              <w:jc w:val="right"/>
              <w:rPr>
                <w:b/>
                <w:sz w:val="24"/>
                <w:szCs w:val="24"/>
              </w:rPr>
            </w:pPr>
            <w:r w:rsidRPr="00D97138">
              <w:rPr>
                <w:b/>
                <w:sz w:val="24"/>
                <w:szCs w:val="24"/>
              </w:rPr>
              <w:t>98 506,4</w:t>
            </w:r>
          </w:p>
        </w:tc>
        <w:tc>
          <w:tcPr>
            <w:tcW w:w="1824" w:type="dxa"/>
            <w:shd w:val="clear" w:color="auto" w:fill="auto"/>
            <w:noWrap/>
            <w:hideMark/>
          </w:tcPr>
          <w:p w:rsidR="00535707" w:rsidRPr="00D97138" w:rsidRDefault="00535707" w:rsidP="00DD7DC8">
            <w:pPr>
              <w:jc w:val="right"/>
              <w:rPr>
                <w:b/>
                <w:color w:val="000000"/>
                <w:sz w:val="24"/>
                <w:szCs w:val="24"/>
              </w:rPr>
            </w:pPr>
            <w:r w:rsidRPr="00D97138">
              <w:rPr>
                <w:b/>
                <w:color w:val="000000"/>
                <w:sz w:val="24"/>
                <w:szCs w:val="24"/>
              </w:rPr>
              <w:t>94 997,3</w:t>
            </w:r>
          </w:p>
        </w:tc>
        <w:tc>
          <w:tcPr>
            <w:tcW w:w="2122" w:type="dxa"/>
            <w:shd w:val="clear" w:color="auto" w:fill="auto"/>
            <w:noWrap/>
            <w:hideMark/>
          </w:tcPr>
          <w:p w:rsidR="00535707" w:rsidRPr="00D97138" w:rsidRDefault="00535707" w:rsidP="00DD7DC8">
            <w:pPr>
              <w:ind w:firstLine="0"/>
              <w:jc w:val="center"/>
              <w:rPr>
                <w:b/>
                <w:sz w:val="24"/>
                <w:szCs w:val="24"/>
              </w:rPr>
            </w:pPr>
            <w:r w:rsidRPr="00D97138">
              <w:rPr>
                <w:b/>
                <w:sz w:val="24"/>
                <w:szCs w:val="24"/>
              </w:rPr>
              <w:t>96,4%</w:t>
            </w:r>
          </w:p>
        </w:tc>
      </w:tr>
      <w:tr w:rsidR="00535707" w:rsidRPr="00E11944" w:rsidTr="00DD7DC8">
        <w:trPr>
          <w:trHeight w:val="20"/>
          <w:jc w:val="center"/>
        </w:trPr>
        <w:tc>
          <w:tcPr>
            <w:tcW w:w="3104" w:type="dxa"/>
            <w:shd w:val="clear" w:color="auto" w:fill="auto"/>
            <w:noWrap/>
            <w:vAlign w:val="center"/>
            <w:hideMark/>
          </w:tcPr>
          <w:p w:rsidR="00535707" w:rsidRPr="00D97138" w:rsidRDefault="00535707" w:rsidP="00956AEB">
            <w:pPr>
              <w:ind w:firstLine="0"/>
              <w:jc w:val="right"/>
              <w:rPr>
                <w:color w:val="000000"/>
                <w:sz w:val="24"/>
                <w:szCs w:val="24"/>
              </w:rPr>
            </w:pPr>
            <w:r w:rsidRPr="00D97138">
              <w:rPr>
                <w:color w:val="000000"/>
                <w:sz w:val="24"/>
                <w:szCs w:val="24"/>
              </w:rPr>
              <w:t>ОБ</w:t>
            </w:r>
          </w:p>
        </w:tc>
        <w:tc>
          <w:tcPr>
            <w:tcW w:w="2275" w:type="dxa"/>
            <w:shd w:val="clear" w:color="auto" w:fill="auto"/>
            <w:noWrap/>
            <w:hideMark/>
          </w:tcPr>
          <w:p w:rsidR="00535707" w:rsidRPr="00D97138" w:rsidRDefault="00535707" w:rsidP="00535707">
            <w:pPr>
              <w:jc w:val="right"/>
              <w:rPr>
                <w:color w:val="000000"/>
                <w:sz w:val="24"/>
                <w:szCs w:val="24"/>
              </w:rPr>
            </w:pPr>
            <w:r w:rsidRPr="00D97138">
              <w:rPr>
                <w:color w:val="000000"/>
                <w:sz w:val="24"/>
                <w:szCs w:val="24"/>
              </w:rPr>
              <w:t>71 034,7</w:t>
            </w:r>
          </w:p>
        </w:tc>
        <w:tc>
          <w:tcPr>
            <w:tcW w:w="1824" w:type="dxa"/>
            <w:shd w:val="clear" w:color="auto" w:fill="auto"/>
            <w:noWrap/>
            <w:hideMark/>
          </w:tcPr>
          <w:p w:rsidR="00535707" w:rsidRPr="00D97138" w:rsidRDefault="00535707" w:rsidP="00535707">
            <w:pPr>
              <w:jc w:val="right"/>
              <w:rPr>
                <w:color w:val="000000"/>
                <w:sz w:val="24"/>
                <w:szCs w:val="24"/>
              </w:rPr>
            </w:pPr>
            <w:r w:rsidRPr="00D97138">
              <w:rPr>
                <w:color w:val="000000"/>
                <w:sz w:val="24"/>
                <w:szCs w:val="24"/>
              </w:rPr>
              <w:t>68 823,7</w:t>
            </w:r>
          </w:p>
        </w:tc>
        <w:tc>
          <w:tcPr>
            <w:tcW w:w="2122" w:type="dxa"/>
            <w:shd w:val="clear" w:color="auto" w:fill="auto"/>
            <w:noWrap/>
            <w:hideMark/>
          </w:tcPr>
          <w:p w:rsidR="00535707" w:rsidRPr="00D97138" w:rsidRDefault="00535707" w:rsidP="00DD7DC8">
            <w:pPr>
              <w:ind w:firstLine="0"/>
              <w:jc w:val="center"/>
              <w:rPr>
                <w:color w:val="000000"/>
                <w:sz w:val="24"/>
                <w:szCs w:val="24"/>
              </w:rPr>
            </w:pPr>
            <w:r w:rsidRPr="00D97138">
              <w:rPr>
                <w:color w:val="000000"/>
                <w:sz w:val="24"/>
                <w:szCs w:val="24"/>
              </w:rPr>
              <w:t>96,9%</w:t>
            </w:r>
          </w:p>
        </w:tc>
      </w:tr>
      <w:tr w:rsidR="00535707" w:rsidRPr="00E11944" w:rsidTr="00DD7DC8">
        <w:trPr>
          <w:trHeight w:val="20"/>
          <w:jc w:val="center"/>
        </w:trPr>
        <w:tc>
          <w:tcPr>
            <w:tcW w:w="3104" w:type="dxa"/>
            <w:shd w:val="clear" w:color="auto" w:fill="auto"/>
            <w:noWrap/>
            <w:vAlign w:val="center"/>
            <w:hideMark/>
          </w:tcPr>
          <w:p w:rsidR="00535707" w:rsidRPr="00D97138" w:rsidRDefault="00535707" w:rsidP="00956AEB">
            <w:pPr>
              <w:ind w:firstLine="0"/>
              <w:jc w:val="right"/>
              <w:rPr>
                <w:color w:val="000000"/>
                <w:sz w:val="24"/>
                <w:szCs w:val="24"/>
              </w:rPr>
            </w:pPr>
            <w:r w:rsidRPr="00D97138">
              <w:rPr>
                <w:color w:val="000000"/>
                <w:sz w:val="24"/>
                <w:szCs w:val="24"/>
              </w:rPr>
              <w:t>ФБ</w:t>
            </w:r>
          </w:p>
        </w:tc>
        <w:tc>
          <w:tcPr>
            <w:tcW w:w="2275" w:type="dxa"/>
            <w:shd w:val="clear" w:color="auto" w:fill="auto"/>
            <w:noWrap/>
            <w:hideMark/>
          </w:tcPr>
          <w:p w:rsidR="00535707" w:rsidRPr="00D97138" w:rsidRDefault="00535707" w:rsidP="00DD7DC8">
            <w:pPr>
              <w:jc w:val="right"/>
              <w:rPr>
                <w:color w:val="000000"/>
                <w:sz w:val="24"/>
                <w:szCs w:val="24"/>
              </w:rPr>
            </w:pPr>
            <w:r w:rsidRPr="00D97138">
              <w:rPr>
                <w:color w:val="000000"/>
                <w:sz w:val="24"/>
                <w:szCs w:val="24"/>
              </w:rPr>
              <w:t>9 202,7</w:t>
            </w:r>
          </w:p>
        </w:tc>
        <w:tc>
          <w:tcPr>
            <w:tcW w:w="1824" w:type="dxa"/>
            <w:shd w:val="clear" w:color="auto" w:fill="auto"/>
            <w:noWrap/>
            <w:hideMark/>
          </w:tcPr>
          <w:p w:rsidR="00535707" w:rsidRPr="00D97138" w:rsidRDefault="00535707" w:rsidP="00DD7DC8">
            <w:pPr>
              <w:jc w:val="right"/>
              <w:rPr>
                <w:color w:val="000000"/>
                <w:sz w:val="24"/>
                <w:szCs w:val="24"/>
              </w:rPr>
            </w:pPr>
            <w:r w:rsidRPr="00D97138">
              <w:rPr>
                <w:color w:val="000000"/>
                <w:sz w:val="24"/>
                <w:szCs w:val="24"/>
              </w:rPr>
              <w:t>8 686,8</w:t>
            </w:r>
          </w:p>
        </w:tc>
        <w:tc>
          <w:tcPr>
            <w:tcW w:w="2122" w:type="dxa"/>
            <w:shd w:val="clear" w:color="auto" w:fill="auto"/>
            <w:noWrap/>
            <w:hideMark/>
          </w:tcPr>
          <w:p w:rsidR="00535707" w:rsidRPr="00D97138" w:rsidRDefault="00535707" w:rsidP="00DD7DC8">
            <w:pPr>
              <w:ind w:firstLine="0"/>
              <w:jc w:val="center"/>
              <w:rPr>
                <w:color w:val="000000"/>
                <w:sz w:val="24"/>
                <w:szCs w:val="24"/>
              </w:rPr>
            </w:pPr>
            <w:r w:rsidRPr="00D97138">
              <w:rPr>
                <w:color w:val="000000"/>
                <w:sz w:val="24"/>
                <w:szCs w:val="24"/>
              </w:rPr>
              <w:t>94,4%</w:t>
            </w:r>
          </w:p>
        </w:tc>
      </w:tr>
      <w:tr w:rsidR="00535707" w:rsidRPr="00E11944" w:rsidTr="00DD7DC8">
        <w:trPr>
          <w:trHeight w:val="20"/>
          <w:jc w:val="center"/>
        </w:trPr>
        <w:tc>
          <w:tcPr>
            <w:tcW w:w="3104" w:type="dxa"/>
            <w:shd w:val="clear" w:color="auto" w:fill="auto"/>
            <w:noWrap/>
            <w:vAlign w:val="center"/>
            <w:hideMark/>
          </w:tcPr>
          <w:p w:rsidR="00535707" w:rsidRPr="00D97138" w:rsidRDefault="00535707" w:rsidP="00956AEB">
            <w:pPr>
              <w:ind w:firstLine="0"/>
              <w:jc w:val="right"/>
              <w:rPr>
                <w:color w:val="000000"/>
                <w:sz w:val="24"/>
                <w:szCs w:val="24"/>
              </w:rPr>
            </w:pPr>
            <w:r w:rsidRPr="00D97138">
              <w:rPr>
                <w:color w:val="000000"/>
                <w:sz w:val="24"/>
                <w:szCs w:val="24"/>
              </w:rPr>
              <w:t>МБ</w:t>
            </w:r>
          </w:p>
        </w:tc>
        <w:tc>
          <w:tcPr>
            <w:tcW w:w="2275" w:type="dxa"/>
            <w:shd w:val="clear" w:color="auto" w:fill="auto"/>
            <w:noWrap/>
            <w:hideMark/>
          </w:tcPr>
          <w:p w:rsidR="00535707" w:rsidRPr="00D97138" w:rsidRDefault="00535707" w:rsidP="00DD7DC8">
            <w:pPr>
              <w:jc w:val="right"/>
              <w:rPr>
                <w:color w:val="000000"/>
                <w:sz w:val="24"/>
                <w:szCs w:val="24"/>
              </w:rPr>
            </w:pPr>
            <w:r w:rsidRPr="00D97138">
              <w:rPr>
                <w:color w:val="000000"/>
                <w:sz w:val="24"/>
                <w:szCs w:val="24"/>
              </w:rPr>
              <w:t>798,8</w:t>
            </w:r>
          </w:p>
        </w:tc>
        <w:tc>
          <w:tcPr>
            <w:tcW w:w="1824" w:type="dxa"/>
            <w:shd w:val="clear" w:color="auto" w:fill="auto"/>
            <w:noWrap/>
            <w:hideMark/>
          </w:tcPr>
          <w:p w:rsidR="00535707" w:rsidRPr="00D97138" w:rsidRDefault="00535707" w:rsidP="00DD7DC8">
            <w:pPr>
              <w:jc w:val="right"/>
              <w:rPr>
                <w:color w:val="000000"/>
                <w:sz w:val="24"/>
                <w:szCs w:val="24"/>
              </w:rPr>
            </w:pPr>
            <w:r w:rsidRPr="00D97138">
              <w:rPr>
                <w:color w:val="000000"/>
                <w:sz w:val="24"/>
                <w:szCs w:val="24"/>
              </w:rPr>
              <w:t>568,1</w:t>
            </w:r>
          </w:p>
        </w:tc>
        <w:tc>
          <w:tcPr>
            <w:tcW w:w="2122" w:type="dxa"/>
            <w:shd w:val="clear" w:color="auto" w:fill="auto"/>
            <w:noWrap/>
            <w:hideMark/>
          </w:tcPr>
          <w:p w:rsidR="00535707" w:rsidRPr="00D97138" w:rsidRDefault="00535707" w:rsidP="00DD7DC8">
            <w:pPr>
              <w:ind w:firstLine="0"/>
              <w:jc w:val="center"/>
              <w:rPr>
                <w:color w:val="000000"/>
                <w:sz w:val="24"/>
                <w:szCs w:val="24"/>
              </w:rPr>
            </w:pPr>
            <w:r w:rsidRPr="00D97138">
              <w:rPr>
                <w:color w:val="000000"/>
                <w:sz w:val="24"/>
                <w:szCs w:val="24"/>
              </w:rPr>
              <w:t>71,1%</w:t>
            </w:r>
          </w:p>
        </w:tc>
      </w:tr>
      <w:tr w:rsidR="00535707" w:rsidRPr="00E11944" w:rsidTr="00DD7DC8">
        <w:trPr>
          <w:trHeight w:val="20"/>
          <w:jc w:val="center"/>
        </w:trPr>
        <w:tc>
          <w:tcPr>
            <w:tcW w:w="3104" w:type="dxa"/>
            <w:shd w:val="clear" w:color="auto" w:fill="auto"/>
            <w:noWrap/>
            <w:vAlign w:val="center"/>
            <w:hideMark/>
          </w:tcPr>
          <w:p w:rsidR="00535707" w:rsidRPr="00D97138" w:rsidRDefault="00535707" w:rsidP="00956AEB">
            <w:pPr>
              <w:ind w:firstLine="0"/>
              <w:jc w:val="right"/>
              <w:rPr>
                <w:color w:val="000000"/>
                <w:sz w:val="24"/>
                <w:szCs w:val="24"/>
              </w:rPr>
            </w:pPr>
            <w:r w:rsidRPr="00D97138">
              <w:rPr>
                <w:color w:val="000000"/>
                <w:sz w:val="24"/>
                <w:szCs w:val="24"/>
              </w:rPr>
              <w:t>ВБС</w:t>
            </w:r>
          </w:p>
        </w:tc>
        <w:tc>
          <w:tcPr>
            <w:tcW w:w="2275" w:type="dxa"/>
            <w:shd w:val="clear" w:color="auto" w:fill="auto"/>
            <w:noWrap/>
            <w:hideMark/>
          </w:tcPr>
          <w:p w:rsidR="00535707" w:rsidRPr="00D97138" w:rsidRDefault="00535707" w:rsidP="00DD7DC8">
            <w:pPr>
              <w:jc w:val="right"/>
              <w:rPr>
                <w:color w:val="000000"/>
                <w:sz w:val="24"/>
                <w:szCs w:val="24"/>
              </w:rPr>
            </w:pPr>
            <w:r w:rsidRPr="00D97138">
              <w:rPr>
                <w:color w:val="000000"/>
                <w:sz w:val="24"/>
                <w:szCs w:val="24"/>
              </w:rPr>
              <w:t>17 470,1</w:t>
            </w:r>
          </w:p>
        </w:tc>
        <w:tc>
          <w:tcPr>
            <w:tcW w:w="1824" w:type="dxa"/>
            <w:shd w:val="clear" w:color="auto" w:fill="auto"/>
            <w:noWrap/>
            <w:hideMark/>
          </w:tcPr>
          <w:p w:rsidR="00535707" w:rsidRPr="00D97138" w:rsidRDefault="00535707" w:rsidP="00DD7DC8">
            <w:pPr>
              <w:jc w:val="right"/>
              <w:rPr>
                <w:color w:val="000000"/>
                <w:sz w:val="24"/>
                <w:szCs w:val="24"/>
              </w:rPr>
            </w:pPr>
            <w:r w:rsidRPr="00D97138">
              <w:rPr>
                <w:color w:val="000000"/>
                <w:sz w:val="24"/>
                <w:szCs w:val="24"/>
              </w:rPr>
              <w:t>16 918,7</w:t>
            </w:r>
          </w:p>
        </w:tc>
        <w:tc>
          <w:tcPr>
            <w:tcW w:w="2122" w:type="dxa"/>
            <w:shd w:val="clear" w:color="auto" w:fill="auto"/>
            <w:noWrap/>
            <w:hideMark/>
          </w:tcPr>
          <w:p w:rsidR="00535707" w:rsidRPr="00D97138" w:rsidRDefault="00535707" w:rsidP="00DD7DC8">
            <w:pPr>
              <w:ind w:firstLine="0"/>
              <w:jc w:val="center"/>
              <w:rPr>
                <w:color w:val="000000"/>
                <w:sz w:val="24"/>
                <w:szCs w:val="24"/>
              </w:rPr>
            </w:pPr>
            <w:r w:rsidRPr="00D97138">
              <w:rPr>
                <w:color w:val="000000"/>
                <w:sz w:val="24"/>
                <w:szCs w:val="24"/>
              </w:rPr>
              <w:t>96,8%</w:t>
            </w:r>
          </w:p>
        </w:tc>
      </w:tr>
    </w:tbl>
    <w:p w:rsidR="00D96953" w:rsidRPr="00E11944" w:rsidRDefault="00D96953" w:rsidP="00326080">
      <w:pPr>
        <w:rPr>
          <w:szCs w:val="28"/>
        </w:rPr>
      </w:pPr>
    </w:p>
    <w:p w:rsidR="00E67580" w:rsidRPr="00E11944" w:rsidRDefault="00D96953" w:rsidP="00326080">
      <w:pPr>
        <w:rPr>
          <w:szCs w:val="28"/>
        </w:rPr>
      </w:pPr>
      <w:r w:rsidRPr="00855CDA">
        <w:rPr>
          <w:szCs w:val="28"/>
        </w:rPr>
        <w:t xml:space="preserve">В </w:t>
      </w:r>
      <w:r w:rsidR="00326080" w:rsidRPr="00855CDA">
        <w:rPr>
          <w:szCs w:val="28"/>
        </w:rPr>
        <w:t>20</w:t>
      </w:r>
      <w:r w:rsidR="00535707" w:rsidRPr="00855CDA">
        <w:rPr>
          <w:szCs w:val="28"/>
        </w:rPr>
        <w:t>20</w:t>
      </w:r>
      <w:r w:rsidR="00326080" w:rsidRPr="00855CDA">
        <w:rPr>
          <w:szCs w:val="28"/>
        </w:rPr>
        <w:t xml:space="preserve"> году </w:t>
      </w:r>
      <w:r w:rsidR="00733E00">
        <w:rPr>
          <w:szCs w:val="28"/>
        </w:rPr>
        <w:t>значительная</w:t>
      </w:r>
      <w:r w:rsidR="00326080" w:rsidRPr="00855CDA">
        <w:rPr>
          <w:szCs w:val="28"/>
        </w:rPr>
        <w:t xml:space="preserve"> часть от общего объема расходов (</w:t>
      </w:r>
      <w:r w:rsidR="00855CDA" w:rsidRPr="00855CDA">
        <w:rPr>
          <w:szCs w:val="28"/>
        </w:rPr>
        <w:t>87,3</w:t>
      </w:r>
      <w:r w:rsidRPr="00855CDA">
        <w:rPr>
          <w:szCs w:val="28"/>
        </w:rPr>
        <w:t>%</w:t>
      </w:r>
      <w:r w:rsidR="00326080" w:rsidRPr="00855CDA">
        <w:rPr>
          <w:szCs w:val="28"/>
        </w:rPr>
        <w:t xml:space="preserve">) приходится на </w:t>
      </w:r>
      <w:r w:rsidR="00855CDA" w:rsidRPr="00855CDA">
        <w:rPr>
          <w:szCs w:val="28"/>
        </w:rPr>
        <w:t>6</w:t>
      </w:r>
      <w:r w:rsidR="00326080" w:rsidRPr="00855CDA">
        <w:rPr>
          <w:szCs w:val="28"/>
        </w:rPr>
        <w:t xml:space="preserve"> программ: «Развитие здравоохранения», «Развитие образования», «Социальная поддержка граждан»,</w:t>
      </w:r>
      <w:r w:rsidR="00892136">
        <w:rPr>
          <w:szCs w:val="28"/>
        </w:rPr>
        <w:t xml:space="preserve"> </w:t>
      </w:r>
      <w:r w:rsidR="001E57B1" w:rsidRPr="00855CDA">
        <w:rPr>
          <w:szCs w:val="28"/>
        </w:rPr>
        <w:t>«Управление региональными финансами, создание условий для эффективного и ответственного управления муниципальными финансами»</w:t>
      </w:r>
      <w:r w:rsidR="001E57B1">
        <w:rPr>
          <w:szCs w:val="28"/>
        </w:rPr>
        <w:t>,</w:t>
      </w:r>
      <w:r w:rsidR="00892136">
        <w:rPr>
          <w:szCs w:val="28"/>
        </w:rPr>
        <w:t xml:space="preserve"> </w:t>
      </w:r>
      <w:r w:rsidRPr="00855CDA">
        <w:rPr>
          <w:szCs w:val="28"/>
        </w:rPr>
        <w:t>«Обеспечение комфорт</w:t>
      </w:r>
      <w:r w:rsidR="001E57B1">
        <w:rPr>
          <w:szCs w:val="28"/>
        </w:rPr>
        <w:t>ной среды проживания населения»</w:t>
      </w:r>
      <w:r w:rsidR="0058112A">
        <w:rPr>
          <w:szCs w:val="28"/>
        </w:rPr>
        <w:t>, «Развитие транспортной системы»</w:t>
      </w:r>
      <w:r w:rsidR="00326080" w:rsidRPr="00855CDA">
        <w:rPr>
          <w:szCs w:val="28"/>
        </w:rPr>
        <w:t xml:space="preserve">. По </w:t>
      </w:r>
      <w:r w:rsidR="00855CDA" w:rsidRPr="00855CDA">
        <w:rPr>
          <w:szCs w:val="28"/>
        </w:rPr>
        <w:t>трем</w:t>
      </w:r>
      <w:r w:rsidR="00645C72" w:rsidRPr="00855CDA">
        <w:rPr>
          <w:szCs w:val="28"/>
        </w:rPr>
        <w:t>из них</w:t>
      </w:r>
      <w:r w:rsidR="00326080" w:rsidRPr="00855CDA">
        <w:rPr>
          <w:szCs w:val="28"/>
        </w:rPr>
        <w:t xml:space="preserve"> отмечается высокая степень освоения предусмотренных средств по всем источникам</w:t>
      </w:r>
      <w:r w:rsidR="00F04BB2" w:rsidRPr="00855CDA">
        <w:rPr>
          <w:szCs w:val="28"/>
        </w:rPr>
        <w:t xml:space="preserve"> (не менее 95</w:t>
      </w:r>
      <w:r w:rsidR="00F04BB2" w:rsidRPr="004A1BF9">
        <w:rPr>
          <w:szCs w:val="28"/>
        </w:rPr>
        <w:t>%)</w:t>
      </w:r>
      <w:r w:rsidR="00892136">
        <w:rPr>
          <w:szCs w:val="28"/>
        </w:rPr>
        <w:t xml:space="preserve"> </w:t>
      </w:r>
      <w:r w:rsidR="00326080" w:rsidRPr="004A1BF9">
        <w:rPr>
          <w:szCs w:val="28"/>
        </w:rPr>
        <w:t xml:space="preserve">(Рисунок </w:t>
      </w:r>
      <w:r w:rsidR="00645C72" w:rsidRPr="004A1BF9">
        <w:rPr>
          <w:szCs w:val="28"/>
        </w:rPr>
        <w:t>5</w:t>
      </w:r>
      <w:r w:rsidR="00326080" w:rsidRPr="004A1BF9">
        <w:rPr>
          <w:szCs w:val="28"/>
        </w:rPr>
        <w:t>).</w:t>
      </w:r>
    </w:p>
    <w:p w:rsidR="00E67580" w:rsidRPr="00E11944" w:rsidRDefault="00E67580" w:rsidP="00326080">
      <w:pPr>
        <w:rPr>
          <w:szCs w:val="28"/>
        </w:rPr>
        <w:sectPr w:rsidR="00E67580" w:rsidRPr="00E11944" w:rsidSect="00EC205D">
          <w:headerReference w:type="default" r:id="rId11"/>
          <w:pgSz w:w="11906" w:h="16838"/>
          <w:pgMar w:top="1134" w:right="850" w:bottom="1134" w:left="1418" w:header="708" w:footer="708" w:gutter="0"/>
          <w:cols w:space="708"/>
          <w:titlePg/>
          <w:docGrid w:linePitch="381"/>
        </w:sectPr>
      </w:pPr>
    </w:p>
    <w:p w:rsidR="00326080" w:rsidRPr="00E11944" w:rsidRDefault="00326080" w:rsidP="00326080">
      <w:pPr>
        <w:rPr>
          <w:szCs w:val="28"/>
        </w:rPr>
      </w:pPr>
    </w:p>
    <w:p w:rsidR="00E11D0B" w:rsidRPr="00E11944" w:rsidRDefault="00E11D0B" w:rsidP="00326080">
      <w:pPr>
        <w:rPr>
          <w:szCs w:val="28"/>
        </w:rPr>
      </w:pPr>
    </w:p>
    <w:p w:rsidR="00326080" w:rsidRPr="00E11944" w:rsidRDefault="00326080" w:rsidP="00326080">
      <w:pPr>
        <w:rPr>
          <w:szCs w:val="28"/>
        </w:rPr>
      </w:pPr>
    </w:p>
    <w:p w:rsidR="00326080" w:rsidRPr="00E11944" w:rsidRDefault="00486F35" w:rsidP="00326080">
      <w:pPr>
        <w:rPr>
          <w:szCs w:val="28"/>
        </w:rPr>
      </w:pPr>
      <w:r w:rsidRPr="00E11944">
        <w:rPr>
          <w:b/>
          <w:noProof/>
          <w:sz w:val="20"/>
          <w:szCs w:val="20"/>
        </w:rPr>
        <w:drawing>
          <wp:inline distT="0" distB="0" distL="0" distR="0">
            <wp:extent cx="8523854" cy="5008687"/>
            <wp:effectExtent l="0" t="0" r="0" b="0"/>
            <wp:docPr id="7"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64FC4" w:rsidRPr="00E11944" w:rsidRDefault="00A64FC4" w:rsidP="00326080"/>
    <w:p w:rsidR="00C565C5" w:rsidRPr="00E11944" w:rsidRDefault="00C565C5" w:rsidP="00C565C5">
      <w:pPr>
        <w:ind w:firstLine="0"/>
        <w:jc w:val="center"/>
        <w:rPr>
          <w:sz w:val="24"/>
          <w:szCs w:val="28"/>
        </w:rPr>
      </w:pPr>
      <w:r w:rsidRPr="00E11944">
        <w:rPr>
          <w:sz w:val="24"/>
          <w:szCs w:val="28"/>
        </w:rPr>
        <w:t>Рисунок 5</w:t>
      </w:r>
    </w:p>
    <w:p w:rsidR="00486F35" w:rsidRPr="00E11944" w:rsidRDefault="00486F35" w:rsidP="00C565C5">
      <w:pPr>
        <w:ind w:firstLine="0"/>
        <w:jc w:val="center"/>
        <w:rPr>
          <w:sz w:val="24"/>
          <w:szCs w:val="28"/>
        </w:rPr>
      </w:pPr>
    </w:p>
    <w:p w:rsidR="00151A02" w:rsidRDefault="00151A02" w:rsidP="00A64FC4">
      <w:pPr>
        <w:rPr>
          <w:szCs w:val="28"/>
        </w:rPr>
      </w:pPr>
    </w:p>
    <w:p w:rsidR="00A64FC4" w:rsidRPr="00E11944" w:rsidRDefault="00A64FC4" w:rsidP="00A64FC4">
      <w:pPr>
        <w:rPr>
          <w:szCs w:val="28"/>
        </w:rPr>
      </w:pPr>
      <w:r w:rsidRPr="00E11944">
        <w:rPr>
          <w:szCs w:val="28"/>
        </w:rPr>
        <w:lastRenderedPageBreak/>
        <w:t>На реализацию оставшихся 1</w:t>
      </w:r>
      <w:r w:rsidR="00855CDA">
        <w:rPr>
          <w:szCs w:val="28"/>
        </w:rPr>
        <w:t>0</w:t>
      </w:r>
      <w:r w:rsidRPr="00E11944">
        <w:rPr>
          <w:szCs w:val="28"/>
        </w:rPr>
        <w:t xml:space="preserve"> программ в 20</w:t>
      </w:r>
      <w:r w:rsidR="00855CDA">
        <w:rPr>
          <w:szCs w:val="28"/>
        </w:rPr>
        <w:t>20</w:t>
      </w:r>
      <w:r w:rsidRPr="00E11944">
        <w:rPr>
          <w:szCs w:val="28"/>
        </w:rPr>
        <w:t xml:space="preserve"> году израсходовано </w:t>
      </w:r>
      <w:r w:rsidR="00855CDA">
        <w:rPr>
          <w:szCs w:val="28"/>
        </w:rPr>
        <w:t>12,4</w:t>
      </w:r>
      <w:r w:rsidRPr="00E11944">
        <w:rPr>
          <w:szCs w:val="28"/>
        </w:rPr>
        <w:t xml:space="preserve"> млрд рублей, при этом средняя степень освоения средств по указанным программам составила </w:t>
      </w:r>
      <w:r w:rsidR="00855CDA">
        <w:rPr>
          <w:szCs w:val="28"/>
        </w:rPr>
        <w:t>89,6</w:t>
      </w:r>
      <w:r w:rsidRPr="00E11944">
        <w:rPr>
          <w:szCs w:val="28"/>
        </w:rPr>
        <w:t>% (Рисунок 6).</w:t>
      </w:r>
    </w:p>
    <w:p w:rsidR="000D1687" w:rsidRPr="00E11944" w:rsidRDefault="00D5649E" w:rsidP="000D1687">
      <w:pPr>
        <w:ind w:firstLine="0"/>
        <w:jc w:val="center"/>
      </w:pPr>
      <w:r w:rsidRPr="00E11944">
        <w:rPr>
          <w:noProof/>
        </w:rPr>
        <w:drawing>
          <wp:inline distT="0" distB="0" distL="0" distR="0">
            <wp:extent cx="9302750" cy="5365630"/>
            <wp:effectExtent l="0" t="0" r="0" b="0"/>
            <wp:docPr id="6" name="Диаграмма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F04ADB" w:rsidRPr="00E11944" w:rsidRDefault="00F04ADB" w:rsidP="00F04ADB">
      <w:pPr>
        <w:rPr>
          <w:sz w:val="20"/>
          <w:szCs w:val="20"/>
        </w:rPr>
      </w:pPr>
      <w:r w:rsidRPr="00E11944">
        <w:rPr>
          <w:sz w:val="20"/>
          <w:szCs w:val="20"/>
        </w:rPr>
        <w:t>*Превышение плановых объемов за счет средств ВБС (средства Фонда социального страхования)</w:t>
      </w:r>
    </w:p>
    <w:p w:rsidR="00F04ADB" w:rsidRPr="00E11944" w:rsidRDefault="00F04ADB" w:rsidP="00F04ADB">
      <w:pPr>
        <w:ind w:firstLine="0"/>
        <w:jc w:val="center"/>
        <w:rPr>
          <w:szCs w:val="28"/>
        </w:rPr>
      </w:pPr>
      <w:r w:rsidRPr="00E11944">
        <w:rPr>
          <w:sz w:val="24"/>
          <w:szCs w:val="28"/>
        </w:rPr>
        <w:t>Рисунок 6</w:t>
      </w:r>
    </w:p>
    <w:p w:rsidR="00F04ADB" w:rsidRPr="00E11944" w:rsidRDefault="00F04ADB" w:rsidP="00F04ADB">
      <w:pPr>
        <w:rPr>
          <w:sz w:val="20"/>
          <w:szCs w:val="20"/>
        </w:rPr>
        <w:sectPr w:rsidR="00F04ADB" w:rsidRPr="00E11944" w:rsidSect="00EC205D">
          <w:pgSz w:w="16838" w:h="11906" w:orient="landscape"/>
          <w:pgMar w:top="851" w:right="678" w:bottom="567" w:left="851" w:header="709" w:footer="709" w:gutter="0"/>
          <w:cols w:space="708"/>
          <w:docGrid w:linePitch="360"/>
        </w:sectPr>
      </w:pPr>
    </w:p>
    <w:p w:rsidR="008B18C2" w:rsidRPr="00E11944" w:rsidRDefault="008B18C2" w:rsidP="00D30883">
      <w:pPr>
        <w:autoSpaceDE w:val="0"/>
        <w:autoSpaceDN w:val="0"/>
        <w:adjustRightInd w:val="0"/>
        <w:rPr>
          <w:b/>
        </w:rPr>
      </w:pPr>
      <w:r w:rsidRPr="00E11944">
        <w:rPr>
          <w:b/>
        </w:rPr>
        <w:lastRenderedPageBreak/>
        <w:t>4. Оценка эффективности</w:t>
      </w:r>
    </w:p>
    <w:p w:rsidR="00AE727B" w:rsidRPr="00E11944" w:rsidRDefault="006244A7" w:rsidP="00D30883">
      <w:pPr>
        <w:autoSpaceDE w:val="0"/>
        <w:autoSpaceDN w:val="0"/>
        <w:adjustRightInd w:val="0"/>
        <w:rPr>
          <w:bCs/>
          <w:szCs w:val="28"/>
        </w:rPr>
      </w:pPr>
      <w:r w:rsidRPr="00E11944">
        <w:t xml:space="preserve">Оценка эффективности государственных программ проводилась ответственными исполнителями на основе </w:t>
      </w:r>
      <w:r w:rsidR="00AE727B" w:rsidRPr="00E11944">
        <w:rPr>
          <w:szCs w:val="28"/>
        </w:rPr>
        <w:t xml:space="preserve">методики, установленной в </w:t>
      </w:r>
      <w:r w:rsidR="003443E8" w:rsidRPr="00E11944">
        <w:rPr>
          <w:szCs w:val="28"/>
        </w:rPr>
        <w:t>Порядке</w:t>
      </w:r>
      <w:r w:rsidR="003443E8" w:rsidRPr="00E11944">
        <w:t xml:space="preserve">, </w:t>
      </w:r>
      <w:r w:rsidR="00AE727B" w:rsidRPr="00E11944">
        <w:rPr>
          <w:bCs/>
          <w:szCs w:val="28"/>
        </w:rPr>
        <w:t>исходя из значения интегрального показателя эффективности, рассчитываемого на основе</w:t>
      </w:r>
      <w:r w:rsidR="003F33E7" w:rsidRPr="00E11944">
        <w:rPr>
          <w:bCs/>
          <w:szCs w:val="28"/>
        </w:rPr>
        <w:t xml:space="preserve"> трех</w:t>
      </w:r>
      <w:r w:rsidR="00AE727B" w:rsidRPr="00E11944">
        <w:rPr>
          <w:bCs/>
          <w:szCs w:val="28"/>
        </w:rPr>
        <w:t xml:space="preserve"> критериев:</w:t>
      </w:r>
    </w:p>
    <w:p w:rsidR="00AE727B" w:rsidRPr="00E11944" w:rsidRDefault="00AE727B" w:rsidP="00D30883">
      <w:pPr>
        <w:autoSpaceDE w:val="0"/>
        <w:autoSpaceDN w:val="0"/>
        <w:adjustRightInd w:val="0"/>
        <w:rPr>
          <w:bCs/>
          <w:szCs w:val="28"/>
        </w:rPr>
      </w:pPr>
      <w:r w:rsidRPr="00E11944">
        <w:rPr>
          <w:bCs/>
          <w:szCs w:val="28"/>
        </w:rPr>
        <w:t xml:space="preserve">К1 – степень достижения целей и решения задач государственной программы (степень достижения </w:t>
      </w:r>
      <w:r w:rsidR="00FA5F18" w:rsidRPr="00E11944">
        <w:rPr>
          <w:bCs/>
          <w:szCs w:val="28"/>
        </w:rPr>
        <w:t xml:space="preserve">значений </w:t>
      </w:r>
      <w:r w:rsidRPr="00E11944">
        <w:rPr>
          <w:bCs/>
          <w:szCs w:val="28"/>
        </w:rPr>
        <w:t>показателей);</w:t>
      </w:r>
    </w:p>
    <w:p w:rsidR="00AE727B" w:rsidRPr="00E11944" w:rsidRDefault="00AE727B" w:rsidP="00D30883">
      <w:pPr>
        <w:autoSpaceDE w:val="0"/>
        <w:autoSpaceDN w:val="0"/>
        <w:adjustRightInd w:val="0"/>
        <w:rPr>
          <w:bCs/>
          <w:szCs w:val="28"/>
        </w:rPr>
      </w:pPr>
      <w:r w:rsidRPr="00E11944">
        <w:rPr>
          <w:bCs/>
          <w:szCs w:val="28"/>
        </w:rPr>
        <w:t>К2 – динамика значений показателей по сравнению с предшествующим (201</w:t>
      </w:r>
      <w:r w:rsidR="00733E00">
        <w:rPr>
          <w:bCs/>
          <w:szCs w:val="28"/>
        </w:rPr>
        <w:t>9</w:t>
      </w:r>
      <w:r w:rsidRPr="00E11944">
        <w:rPr>
          <w:bCs/>
          <w:szCs w:val="28"/>
        </w:rPr>
        <w:t>) годом;</w:t>
      </w:r>
    </w:p>
    <w:p w:rsidR="00AE727B" w:rsidRPr="00E11944" w:rsidRDefault="00AE727B" w:rsidP="00D30883">
      <w:pPr>
        <w:autoSpaceDE w:val="0"/>
        <w:autoSpaceDN w:val="0"/>
        <w:adjustRightInd w:val="0"/>
        <w:rPr>
          <w:bCs/>
          <w:szCs w:val="28"/>
        </w:rPr>
      </w:pPr>
      <w:r w:rsidRPr="00E11944">
        <w:rPr>
          <w:szCs w:val="28"/>
        </w:rPr>
        <w:t>К3 –</w:t>
      </w:r>
      <w:r w:rsidR="00834828" w:rsidRPr="00E11944">
        <w:rPr>
          <w:bCs/>
          <w:szCs w:val="28"/>
        </w:rPr>
        <w:t xml:space="preserve"> степень выполнения меропр</w:t>
      </w:r>
      <w:r w:rsidR="002747BC" w:rsidRPr="00E11944">
        <w:rPr>
          <w:bCs/>
          <w:szCs w:val="28"/>
        </w:rPr>
        <w:t>иятий государственной программы.</w:t>
      </w:r>
    </w:p>
    <w:p w:rsidR="00AE727B" w:rsidRPr="00E11944" w:rsidRDefault="00AE727B" w:rsidP="00D30883">
      <w:pPr>
        <w:autoSpaceDE w:val="0"/>
        <w:autoSpaceDN w:val="0"/>
        <w:adjustRightInd w:val="0"/>
        <w:rPr>
          <w:bCs/>
          <w:szCs w:val="28"/>
        </w:rPr>
      </w:pPr>
      <w:r w:rsidRPr="00E11944">
        <w:rPr>
          <w:bCs/>
          <w:szCs w:val="28"/>
        </w:rPr>
        <w:t>Интегральный показатель эффективности реализации государственной программы (ЭГП) рассчитывался по формуле:</w:t>
      </w:r>
    </w:p>
    <w:p w:rsidR="003443E8" w:rsidRPr="00E11944" w:rsidRDefault="003443E8" w:rsidP="00D30883">
      <w:pPr>
        <w:autoSpaceDE w:val="0"/>
        <w:autoSpaceDN w:val="0"/>
        <w:adjustRightInd w:val="0"/>
        <w:rPr>
          <w:bCs/>
          <w:szCs w:val="28"/>
        </w:rPr>
      </w:pPr>
    </w:p>
    <w:p w:rsidR="00AE727B" w:rsidRDefault="00AE727B" w:rsidP="00D30883">
      <w:pPr>
        <w:autoSpaceDE w:val="0"/>
        <w:autoSpaceDN w:val="0"/>
        <w:adjustRightInd w:val="0"/>
        <w:rPr>
          <w:bCs/>
          <w:szCs w:val="28"/>
        </w:rPr>
      </w:pPr>
      <w:r w:rsidRPr="00E11944">
        <w:rPr>
          <w:bCs/>
          <w:szCs w:val="28"/>
        </w:rPr>
        <w:t>ЭГП = К1*0,</w:t>
      </w:r>
      <w:r w:rsidR="00834828" w:rsidRPr="00E11944">
        <w:rPr>
          <w:bCs/>
          <w:szCs w:val="28"/>
        </w:rPr>
        <w:t>3</w:t>
      </w:r>
      <w:r w:rsidRPr="00E11944">
        <w:rPr>
          <w:bCs/>
          <w:szCs w:val="28"/>
        </w:rPr>
        <w:t>+</w:t>
      </w:r>
      <w:r w:rsidR="00747694" w:rsidRPr="00E11944">
        <w:rPr>
          <w:bCs/>
          <w:szCs w:val="28"/>
        </w:rPr>
        <w:t>(</w:t>
      </w:r>
      <w:r w:rsidRPr="00E11944">
        <w:rPr>
          <w:bCs/>
          <w:szCs w:val="28"/>
        </w:rPr>
        <w:t>К2</w:t>
      </w:r>
      <w:r w:rsidR="00747694" w:rsidRPr="00E11944">
        <w:rPr>
          <w:bCs/>
          <w:szCs w:val="28"/>
        </w:rPr>
        <w:t>-3%)</w:t>
      </w:r>
      <w:r w:rsidRPr="00E11944">
        <w:rPr>
          <w:bCs/>
          <w:szCs w:val="28"/>
        </w:rPr>
        <w:t>*0,</w:t>
      </w:r>
      <w:r w:rsidR="00747694" w:rsidRPr="00E11944">
        <w:rPr>
          <w:bCs/>
          <w:szCs w:val="28"/>
        </w:rPr>
        <w:t>3</w:t>
      </w:r>
      <w:r w:rsidR="00834828" w:rsidRPr="00E11944">
        <w:rPr>
          <w:bCs/>
          <w:szCs w:val="28"/>
        </w:rPr>
        <w:t>5+К3*0,35</w:t>
      </w:r>
      <w:r w:rsidRPr="00E11944">
        <w:rPr>
          <w:bCs/>
          <w:szCs w:val="28"/>
        </w:rPr>
        <w:t>.</w:t>
      </w:r>
    </w:p>
    <w:p w:rsidR="00AE727B" w:rsidRPr="00E11944" w:rsidRDefault="00AE727B" w:rsidP="00D30883">
      <w:pPr>
        <w:autoSpaceDE w:val="0"/>
        <w:autoSpaceDN w:val="0"/>
        <w:adjustRightInd w:val="0"/>
        <w:rPr>
          <w:bCs/>
          <w:szCs w:val="28"/>
        </w:rPr>
      </w:pPr>
      <w:r w:rsidRPr="00E11944">
        <w:rPr>
          <w:bCs/>
          <w:szCs w:val="28"/>
        </w:rPr>
        <w:t>Государственная программа считается реализуемой:</w:t>
      </w:r>
    </w:p>
    <w:p w:rsidR="00AE727B" w:rsidRPr="00E11944" w:rsidRDefault="00AE727B" w:rsidP="00D30883">
      <w:pPr>
        <w:numPr>
          <w:ilvl w:val="0"/>
          <w:numId w:val="8"/>
        </w:numPr>
        <w:tabs>
          <w:tab w:val="left" w:pos="993"/>
        </w:tabs>
        <w:autoSpaceDE w:val="0"/>
        <w:autoSpaceDN w:val="0"/>
        <w:adjustRightInd w:val="0"/>
        <w:ind w:left="0" w:firstLine="709"/>
        <w:rPr>
          <w:bCs/>
          <w:szCs w:val="28"/>
        </w:rPr>
      </w:pPr>
      <w:r w:rsidRPr="00E11944">
        <w:rPr>
          <w:bCs/>
          <w:szCs w:val="28"/>
        </w:rPr>
        <w:t>с высоким уровнем эффективности, если значение ЭГП составляет не менее 9</w:t>
      </w:r>
      <w:r w:rsidR="00D30883" w:rsidRPr="00E11944">
        <w:rPr>
          <w:bCs/>
          <w:szCs w:val="28"/>
        </w:rPr>
        <w:t>7</w:t>
      </w:r>
      <w:r w:rsidRPr="00E11944">
        <w:rPr>
          <w:bCs/>
          <w:szCs w:val="28"/>
        </w:rPr>
        <w:t>%;</w:t>
      </w:r>
    </w:p>
    <w:p w:rsidR="00AE727B" w:rsidRPr="00E11944" w:rsidRDefault="00AE727B" w:rsidP="00D30883">
      <w:pPr>
        <w:numPr>
          <w:ilvl w:val="0"/>
          <w:numId w:val="8"/>
        </w:numPr>
        <w:tabs>
          <w:tab w:val="left" w:pos="993"/>
        </w:tabs>
        <w:autoSpaceDE w:val="0"/>
        <w:autoSpaceDN w:val="0"/>
        <w:adjustRightInd w:val="0"/>
        <w:ind w:left="0" w:firstLine="709"/>
        <w:rPr>
          <w:bCs/>
          <w:szCs w:val="28"/>
        </w:rPr>
      </w:pPr>
      <w:r w:rsidRPr="00E11944">
        <w:rPr>
          <w:bCs/>
          <w:szCs w:val="28"/>
        </w:rPr>
        <w:t xml:space="preserve">со средним уровнем эффективности, если значение ЭГП составляет не менее </w:t>
      </w:r>
      <w:r w:rsidR="00D30883" w:rsidRPr="00E11944">
        <w:rPr>
          <w:bCs/>
          <w:szCs w:val="28"/>
        </w:rPr>
        <w:t>92</w:t>
      </w:r>
      <w:r w:rsidRPr="00E11944">
        <w:rPr>
          <w:bCs/>
          <w:szCs w:val="28"/>
        </w:rPr>
        <w:t>%;</w:t>
      </w:r>
    </w:p>
    <w:p w:rsidR="00D30883" w:rsidRPr="00E11944" w:rsidRDefault="00D30883" w:rsidP="00D30883">
      <w:pPr>
        <w:numPr>
          <w:ilvl w:val="0"/>
          <w:numId w:val="8"/>
        </w:numPr>
        <w:tabs>
          <w:tab w:val="left" w:pos="993"/>
        </w:tabs>
        <w:autoSpaceDE w:val="0"/>
        <w:autoSpaceDN w:val="0"/>
        <w:adjustRightInd w:val="0"/>
        <w:ind w:left="0" w:firstLine="709"/>
        <w:rPr>
          <w:bCs/>
          <w:szCs w:val="28"/>
        </w:rPr>
      </w:pPr>
      <w:r w:rsidRPr="00E11944">
        <w:rPr>
          <w:bCs/>
          <w:szCs w:val="28"/>
        </w:rPr>
        <w:t>с уровнем эффективности ниже среднего, если значение ЭГП составляет не менее 85%;</w:t>
      </w:r>
    </w:p>
    <w:p w:rsidR="00AE727B" w:rsidRPr="00E11944" w:rsidRDefault="00AE727B" w:rsidP="00D30883">
      <w:pPr>
        <w:numPr>
          <w:ilvl w:val="0"/>
          <w:numId w:val="8"/>
        </w:numPr>
        <w:tabs>
          <w:tab w:val="left" w:pos="993"/>
        </w:tabs>
        <w:autoSpaceDE w:val="0"/>
        <w:autoSpaceDN w:val="0"/>
        <w:adjustRightInd w:val="0"/>
        <w:ind w:left="0" w:firstLine="709"/>
        <w:rPr>
          <w:bCs/>
          <w:szCs w:val="28"/>
        </w:rPr>
      </w:pPr>
      <w:r w:rsidRPr="00E11944">
        <w:rPr>
          <w:bCs/>
          <w:szCs w:val="28"/>
        </w:rPr>
        <w:t>с низким уровнем эффективности, если значение ЭГП ниже 8</w:t>
      </w:r>
      <w:r w:rsidR="00D30883" w:rsidRPr="00E11944">
        <w:rPr>
          <w:bCs/>
          <w:szCs w:val="28"/>
        </w:rPr>
        <w:t>5</w:t>
      </w:r>
      <w:r w:rsidRPr="00E11944">
        <w:rPr>
          <w:bCs/>
          <w:szCs w:val="28"/>
        </w:rPr>
        <w:t>%.</w:t>
      </w:r>
    </w:p>
    <w:p w:rsidR="00E63BF7" w:rsidRPr="00E11944" w:rsidRDefault="00E63BF7" w:rsidP="001E2CB8">
      <w:pPr>
        <w:autoSpaceDE w:val="0"/>
        <w:autoSpaceDN w:val="0"/>
        <w:adjustRightInd w:val="0"/>
        <w:rPr>
          <w:szCs w:val="28"/>
        </w:rPr>
      </w:pPr>
      <w:r w:rsidRPr="00E11944">
        <w:rPr>
          <w:szCs w:val="28"/>
        </w:rPr>
        <w:t xml:space="preserve">Результаты оценки эффективности </w:t>
      </w:r>
      <w:r w:rsidR="003F33E7" w:rsidRPr="00E11944">
        <w:rPr>
          <w:szCs w:val="28"/>
        </w:rPr>
        <w:t xml:space="preserve">реализации </w:t>
      </w:r>
      <w:r w:rsidRPr="00E11944">
        <w:rPr>
          <w:szCs w:val="28"/>
        </w:rPr>
        <w:t xml:space="preserve">государственных программ </w:t>
      </w:r>
      <w:r w:rsidR="003F33E7" w:rsidRPr="00E11944">
        <w:rPr>
          <w:szCs w:val="28"/>
        </w:rPr>
        <w:t>в 20</w:t>
      </w:r>
      <w:r w:rsidR="00535707">
        <w:rPr>
          <w:szCs w:val="28"/>
        </w:rPr>
        <w:t>20</w:t>
      </w:r>
      <w:r w:rsidR="003F33E7" w:rsidRPr="00E11944">
        <w:rPr>
          <w:szCs w:val="28"/>
        </w:rPr>
        <w:t xml:space="preserve"> году</w:t>
      </w:r>
      <w:r w:rsidRPr="00E11944">
        <w:rPr>
          <w:szCs w:val="28"/>
        </w:rPr>
        <w:t xml:space="preserve"> представлены в приложении №4.</w:t>
      </w:r>
    </w:p>
    <w:p w:rsidR="005A5B71" w:rsidRPr="00855CDA" w:rsidRDefault="007C23AE" w:rsidP="001E2CB8">
      <w:pPr>
        <w:autoSpaceDE w:val="0"/>
        <w:autoSpaceDN w:val="0"/>
        <w:adjustRightInd w:val="0"/>
        <w:rPr>
          <w:szCs w:val="28"/>
        </w:rPr>
      </w:pPr>
      <w:r w:rsidRPr="00855CDA">
        <w:rPr>
          <w:szCs w:val="28"/>
        </w:rPr>
        <w:t>Из 1</w:t>
      </w:r>
      <w:r w:rsidR="00BB7435" w:rsidRPr="00855CDA">
        <w:rPr>
          <w:szCs w:val="28"/>
        </w:rPr>
        <w:t>6</w:t>
      </w:r>
      <w:r w:rsidR="00892136">
        <w:rPr>
          <w:szCs w:val="28"/>
        </w:rPr>
        <w:t xml:space="preserve"> </w:t>
      </w:r>
      <w:r w:rsidR="00A20E1A" w:rsidRPr="00855CDA">
        <w:rPr>
          <w:szCs w:val="28"/>
        </w:rPr>
        <w:t xml:space="preserve">государственных программ Мурманской области высокую оценку </w:t>
      </w:r>
      <w:r w:rsidR="003F33E7" w:rsidRPr="00855CDA">
        <w:rPr>
          <w:szCs w:val="28"/>
        </w:rPr>
        <w:t xml:space="preserve">получили </w:t>
      </w:r>
      <w:r w:rsidR="00855CDA" w:rsidRPr="00855CDA">
        <w:rPr>
          <w:szCs w:val="28"/>
        </w:rPr>
        <w:t>2</w:t>
      </w:r>
      <w:r w:rsidR="00643F33" w:rsidRPr="00855CDA">
        <w:rPr>
          <w:szCs w:val="28"/>
        </w:rPr>
        <w:t xml:space="preserve"> (Таблица 2</w:t>
      </w:r>
      <w:r w:rsidR="00A20E1A" w:rsidRPr="00855CDA">
        <w:rPr>
          <w:szCs w:val="28"/>
        </w:rPr>
        <w:t>)</w:t>
      </w:r>
      <w:r w:rsidRPr="00855CDA">
        <w:rPr>
          <w:szCs w:val="28"/>
        </w:rPr>
        <w:t>:</w:t>
      </w:r>
    </w:p>
    <w:p w:rsidR="001E2CB8" w:rsidRPr="00855CDA" w:rsidRDefault="001E2CB8" w:rsidP="001E2CB8">
      <w:pPr>
        <w:numPr>
          <w:ilvl w:val="0"/>
          <w:numId w:val="13"/>
        </w:numPr>
        <w:tabs>
          <w:tab w:val="left" w:pos="993"/>
        </w:tabs>
        <w:autoSpaceDE w:val="0"/>
        <w:autoSpaceDN w:val="0"/>
        <w:adjustRightInd w:val="0"/>
        <w:ind w:left="0" w:firstLine="709"/>
        <w:rPr>
          <w:szCs w:val="28"/>
        </w:rPr>
      </w:pPr>
      <w:r w:rsidRPr="00855CDA">
        <w:rPr>
          <w:szCs w:val="28"/>
        </w:rPr>
        <w:t xml:space="preserve">«Формирование современной городской среды Мурманской области» (ЭГП – </w:t>
      </w:r>
      <w:r w:rsidR="00855CDA">
        <w:rPr>
          <w:szCs w:val="28"/>
        </w:rPr>
        <w:t>121,9</w:t>
      </w:r>
      <w:r w:rsidRPr="00855CDA">
        <w:rPr>
          <w:szCs w:val="28"/>
        </w:rPr>
        <w:t>%);</w:t>
      </w:r>
    </w:p>
    <w:p w:rsidR="001E2CB8" w:rsidRPr="00855CDA" w:rsidRDefault="001E2CB8" w:rsidP="001E2CB8">
      <w:pPr>
        <w:numPr>
          <w:ilvl w:val="0"/>
          <w:numId w:val="13"/>
        </w:numPr>
        <w:tabs>
          <w:tab w:val="left" w:pos="993"/>
        </w:tabs>
        <w:autoSpaceDE w:val="0"/>
        <w:autoSpaceDN w:val="0"/>
        <w:adjustRightInd w:val="0"/>
        <w:ind w:left="0" w:firstLine="709"/>
        <w:rPr>
          <w:szCs w:val="28"/>
        </w:rPr>
      </w:pPr>
      <w:r w:rsidRPr="00855CDA">
        <w:rPr>
          <w:szCs w:val="28"/>
        </w:rPr>
        <w:t>«Управление региональными финансами, создание условий для эффективного и ответственного управления муниципа</w:t>
      </w:r>
      <w:r w:rsidR="00530F76" w:rsidRPr="00855CDA">
        <w:rPr>
          <w:szCs w:val="28"/>
        </w:rPr>
        <w:t xml:space="preserve">льными финансами» (ЭГП – </w:t>
      </w:r>
      <w:r w:rsidR="00855CDA">
        <w:rPr>
          <w:szCs w:val="28"/>
        </w:rPr>
        <w:t>97,45</w:t>
      </w:r>
      <w:r w:rsidR="00530F76" w:rsidRPr="00855CDA">
        <w:rPr>
          <w:szCs w:val="28"/>
        </w:rPr>
        <w:t>%).</w:t>
      </w:r>
    </w:p>
    <w:p w:rsidR="00530F76" w:rsidRDefault="00556361" w:rsidP="001E2CB8">
      <w:pPr>
        <w:autoSpaceDE w:val="0"/>
        <w:autoSpaceDN w:val="0"/>
        <w:adjustRightInd w:val="0"/>
        <w:rPr>
          <w:szCs w:val="28"/>
        </w:rPr>
      </w:pPr>
      <w:r w:rsidRPr="00855CDA">
        <w:rPr>
          <w:szCs w:val="28"/>
        </w:rPr>
        <w:t xml:space="preserve">Средняя эффективность отмечается у </w:t>
      </w:r>
      <w:r w:rsidR="00A85CDD">
        <w:rPr>
          <w:szCs w:val="28"/>
        </w:rPr>
        <w:t xml:space="preserve">5 </w:t>
      </w:r>
      <w:r w:rsidRPr="00855CDA">
        <w:rPr>
          <w:szCs w:val="28"/>
        </w:rPr>
        <w:t>программ</w:t>
      </w:r>
      <w:r w:rsidR="007C23AE" w:rsidRPr="00855CDA">
        <w:rPr>
          <w:szCs w:val="28"/>
        </w:rPr>
        <w:t>:</w:t>
      </w:r>
    </w:p>
    <w:p w:rsidR="00855CDA" w:rsidRPr="00855CDA" w:rsidRDefault="00855CDA" w:rsidP="001E2CB8">
      <w:pPr>
        <w:autoSpaceDE w:val="0"/>
        <w:autoSpaceDN w:val="0"/>
        <w:adjustRightInd w:val="0"/>
        <w:rPr>
          <w:szCs w:val="28"/>
        </w:rPr>
      </w:pPr>
      <w:r>
        <w:rPr>
          <w:szCs w:val="28"/>
        </w:rPr>
        <w:t>- «</w:t>
      </w:r>
      <w:r w:rsidRPr="00855CDA">
        <w:rPr>
          <w:szCs w:val="28"/>
        </w:rPr>
        <w:t>Развитие рыбного и сельского хозяйства, и регулирование рынков сельскохозяйственной продукции, сырья и продовольствия</w:t>
      </w:r>
      <w:r>
        <w:rPr>
          <w:szCs w:val="28"/>
        </w:rPr>
        <w:t>» (ЭГП – 96,6%)</w:t>
      </w:r>
    </w:p>
    <w:p w:rsidR="00530F76" w:rsidRDefault="00530F76" w:rsidP="001E2CB8">
      <w:pPr>
        <w:autoSpaceDE w:val="0"/>
        <w:autoSpaceDN w:val="0"/>
        <w:adjustRightInd w:val="0"/>
        <w:rPr>
          <w:szCs w:val="28"/>
        </w:rPr>
      </w:pPr>
      <w:r w:rsidRPr="00855CDA">
        <w:rPr>
          <w:szCs w:val="28"/>
        </w:rPr>
        <w:t>- «Развитие т</w:t>
      </w:r>
      <w:r w:rsidR="009F2533" w:rsidRPr="00855CDA">
        <w:rPr>
          <w:szCs w:val="28"/>
        </w:rPr>
        <w:t xml:space="preserve">ранспортной системы» (ЭГП – </w:t>
      </w:r>
      <w:r w:rsidR="00855CDA">
        <w:rPr>
          <w:szCs w:val="28"/>
        </w:rPr>
        <w:t>96,73</w:t>
      </w:r>
      <w:r w:rsidRPr="00855CDA">
        <w:rPr>
          <w:szCs w:val="28"/>
        </w:rPr>
        <w:t>%);</w:t>
      </w:r>
    </w:p>
    <w:p w:rsidR="00855CDA" w:rsidRPr="00855CDA" w:rsidRDefault="00855CDA" w:rsidP="00855CDA">
      <w:pPr>
        <w:autoSpaceDE w:val="0"/>
        <w:autoSpaceDN w:val="0"/>
        <w:adjustRightInd w:val="0"/>
        <w:rPr>
          <w:szCs w:val="28"/>
        </w:rPr>
      </w:pPr>
      <w:r w:rsidRPr="00855CDA">
        <w:rPr>
          <w:szCs w:val="28"/>
        </w:rPr>
        <w:t xml:space="preserve">- «Информационное общество» (ЭГП – </w:t>
      </w:r>
      <w:r>
        <w:rPr>
          <w:szCs w:val="28"/>
        </w:rPr>
        <w:t>93,2</w:t>
      </w:r>
      <w:r w:rsidRPr="00855CDA">
        <w:rPr>
          <w:szCs w:val="28"/>
        </w:rPr>
        <w:t>%);</w:t>
      </w:r>
    </w:p>
    <w:p w:rsidR="00855CDA" w:rsidRDefault="00855CDA" w:rsidP="001E2CB8">
      <w:pPr>
        <w:autoSpaceDE w:val="0"/>
        <w:autoSpaceDN w:val="0"/>
        <w:adjustRightInd w:val="0"/>
        <w:rPr>
          <w:szCs w:val="28"/>
        </w:rPr>
      </w:pPr>
      <w:r>
        <w:rPr>
          <w:szCs w:val="28"/>
        </w:rPr>
        <w:t>- «Государственное управление и гражданское общество» (ЭГП – 93,17%)</w:t>
      </w:r>
      <w:r w:rsidR="00A85CDD">
        <w:rPr>
          <w:szCs w:val="28"/>
        </w:rPr>
        <w:t>;</w:t>
      </w:r>
    </w:p>
    <w:p w:rsidR="00A85CDD" w:rsidRPr="00855CDA" w:rsidRDefault="00A85CDD" w:rsidP="001E2CB8">
      <w:pPr>
        <w:autoSpaceDE w:val="0"/>
        <w:autoSpaceDN w:val="0"/>
        <w:adjustRightInd w:val="0"/>
        <w:rPr>
          <w:szCs w:val="28"/>
        </w:rPr>
      </w:pPr>
      <w:r>
        <w:rPr>
          <w:szCs w:val="28"/>
        </w:rPr>
        <w:t>- «Развитие экономического потенциала и формирование благоприятного предпринимательского климата» (ЭГП – 92,2%)</w:t>
      </w:r>
    </w:p>
    <w:p w:rsidR="007C23AE" w:rsidRPr="00855CDA" w:rsidRDefault="006B65A7" w:rsidP="007C23AE">
      <w:pPr>
        <w:autoSpaceDE w:val="0"/>
        <w:autoSpaceDN w:val="0"/>
        <w:adjustRightInd w:val="0"/>
        <w:rPr>
          <w:szCs w:val="28"/>
        </w:rPr>
      </w:pPr>
      <w:proofErr w:type="spellStart"/>
      <w:r w:rsidRPr="00855CDA">
        <w:rPr>
          <w:szCs w:val="28"/>
        </w:rPr>
        <w:t>Н</w:t>
      </w:r>
      <w:r w:rsidR="007C23AE" w:rsidRPr="00855CDA">
        <w:rPr>
          <w:szCs w:val="28"/>
        </w:rPr>
        <w:t>едостижение</w:t>
      </w:r>
      <w:r w:rsidR="002227AE" w:rsidRPr="00855CDA">
        <w:rPr>
          <w:szCs w:val="28"/>
        </w:rPr>
        <w:t>целевых</w:t>
      </w:r>
      <w:proofErr w:type="spellEnd"/>
      <w:r w:rsidR="007C23AE" w:rsidRPr="00855CDA">
        <w:rPr>
          <w:szCs w:val="28"/>
        </w:rPr>
        <w:t xml:space="preserve"> значений показателей, а также </w:t>
      </w:r>
      <w:r w:rsidR="0086680D" w:rsidRPr="00855CDA">
        <w:rPr>
          <w:szCs w:val="28"/>
        </w:rPr>
        <w:t>невыполнение всех запланированных мероприятий в установленные сроки не позволило указанным программам достичь высокого уровня эффективности.</w:t>
      </w:r>
    </w:p>
    <w:p w:rsidR="00855CDA" w:rsidRPr="00855CDA" w:rsidRDefault="00A85CDD" w:rsidP="00BC07D3">
      <w:pPr>
        <w:autoSpaceDE w:val="0"/>
        <w:autoSpaceDN w:val="0"/>
        <w:adjustRightInd w:val="0"/>
        <w:rPr>
          <w:szCs w:val="28"/>
        </w:rPr>
      </w:pPr>
      <w:r>
        <w:rPr>
          <w:szCs w:val="28"/>
        </w:rPr>
        <w:t>7</w:t>
      </w:r>
      <w:r w:rsidR="007F3AAF" w:rsidRPr="00855CDA">
        <w:rPr>
          <w:szCs w:val="28"/>
        </w:rPr>
        <w:t xml:space="preserve"> программ</w:t>
      </w:r>
      <w:r w:rsidR="003443E8" w:rsidRPr="00855CDA">
        <w:rPr>
          <w:szCs w:val="28"/>
        </w:rPr>
        <w:t xml:space="preserve"> реализованы</w:t>
      </w:r>
      <w:r w:rsidR="007F3AAF" w:rsidRPr="00855CDA">
        <w:rPr>
          <w:szCs w:val="28"/>
        </w:rPr>
        <w:t xml:space="preserve"> с уровнем эффективности ниже среднего</w:t>
      </w:r>
      <w:r w:rsidR="00855CDA" w:rsidRPr="00855CDA">
        <w:rPr>
          <w:szCs w:val="28"/>
        </w:rPr>
        <w:t>.</w:t>
      </w:r>
    </w:p>
    <w:p w:rsidR="00153AE8" w:rsidRDefault="00AE7602" w:rsidP="004E26CA">
      <w:pPr>
        <w:autoSpaceDE w:val="0"/>
        <w:autoSpaceDN w:val="0"/>
        <w:adjustRightInd w:val="0"/>
        <w:rPr>
          <w:sz w:val="24"/>
        </w:rPr>
      </w:pPr>
      <w:r w:rsidRPr="00855CDA">
        <w:rPr>
          <w:szCs w:val="28"/>
        </w:rPr>
        <w:t>Н</w:t>
      </w:r>
      <w:r w:rsidR="00BC07D3" w:rsidRPr="00855CDA">
        <w:rPr>
          <w:szCs w:val="28"/>
        </w:rPr>
        <w:t>изки</w:t>
      </w:r>
      <w:r w:rsidRPr="00855CDA">
        <w:rPr>
          <w:szCs w:val="28"/>
        </w:rPr>
        <w:t>й</w:t>
      </w:r>
      <w:r w:rsidR="00BC07D3" w:rsidRPr="00855CDA">
        <w:rPr>
          <w:szCs w:val="28"/>
        </w:rPr>
        <w:t xml:space="preserve"> уров</w:t>
      </w:r>
      <w:r w:rsidRPr="00855CDA">
        <w:rPr>
          <w:szCs w:val="28"/>
        </w:rPr>
        <w:t>ень</w:t>
      </w:r>
      <w:r w:rsidR="00BC07D3" w:rsidRPr="00855CDA">
        <w:rPr>
          <w:szCs w:val="28"/>
        </w:rPr>
        <w:t xml:space="preserve"> эффективности </w:t>
      </w:r>
      <w:r w:rsidRPr="00855CDA">
        <w:rPr>
          <w:szCs w:val="28"/>
        </w:rPr>
        <w:t xml:space="preserve">отмечен </w:t>
      </w:r>
      <w:r w:rsidR="00855CDA" w:rsidRPr="00855CDA">
        <w:rPr>
          <w:szCs w:val="28"/>
        </w:rPr>
        <w:t>2 программам.</w:t>
      </w:r>
    </w:p>
    <w:p w:rsidR="00153AE8" w:rsidRDefault="00153AE8" w:rsidP="00597D62">
      <w:pPr>
        <w:jc w:val="right"/>
        <w:rPr>
          <w:sz w:val="24"/>
        </w:rPr>
        <w:sectPr w:rsidR="00153AE8" w:rsidSect="00EC205D">
          <w:headerReference w:type="default" r:id="rId14"/>
          <w:pgSz w:w="11906" w:h="16838"/>
          <w:pgMar w:top="1134" w:right="851" w:bottom="1134" w:left="1418" w:header="709" w:footer="709" w:gutter="0"/>
          <w:cols w:space="708"/>
          <w:docGrid w:linePitch="360"/>
        </w:sectPr>
      </w:pPr>
    </w:p>
    <w:p w:rsidR="00597D62" w:rsidRDefault="00597D62" w:rsidP="00721C22">
      <w:pPr>
        <w:ind w:right="-598"/>
        <w:jc w:val="right"/>
        <w:rPr>
          <w:sz w:val="24"/>
        </w:rPr>
      </w:pPr>
      <w:r w:rsidRPr="00252F01">
        <w:rPr>
          <w:sz w:val="24"/>
        </w:rPr>
        <w:lastRenderedPageBreak/>
        <w:t>Таблица 2</w:t>
      </w:r>
    </w:p>
    <w:p w:rsidR="00A874FD" w:rsidRPr="00597D62" w:rsidRDefault="00A874FD" w:rsidP="00597D62">
      <w:pPr>
        <w:jc w:val="right"/>
        <w:rPr>
          <w:sz w:val="24"/>
        </w:rPr>
      </w:pPr>
    </w:p>
    <w:tbl>
      <w:tblPr>
        <w:tblW w:w="1573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567"/>
        <w:gridCol w:w="6521"/>
        <w:gridCol w:w="1560"/>
        <w:gridCol w:w="1559"/>
        <w:gridCol w:w="1701"/>
        <w:gridCol w:w="1984"/>
        <w:gridCol w:w="1843"/>
      </w:tblGrid>
      <w:tr w:rsidR="00BC2132" w:rsidRPr="00A874FD" w:rsidTr="00733E00">
        <w:trPr>
          <w:trHeight w:val="450"/>
        </w:trPr>
        <w:tc>
          <w:tcPr>
            <w:tcW w:w="567" w:type="dxa"/>
            <w:shd w:val="clear" w:color="auto" w:fill="FFFFFF" w:themeFill="background1"/>
          </w:tcPr>
          <w:p w:rsidR="00BC2132" w:rsidRPr="001B4B37" w:rsidRDefault="00BC2132" w:rsidP="00A874FD">
            <w:pPr>
              <w:ind w:firstLine="0"/>
              <w:jc w:val="left"/>
              <w:rPr>
                <w:sz w:val="24"/>
                <w:szCs w:val="24"/>
              </w:rPr>
            </w:pPr>
            <w:r w:rsidRPr="001B4B37">
              <w:rPr>
                <w:sz w:val="24"/>
                <w:szCs w:val="24"/>
              </w:rPr>
              <w:t>№ п/п</w:t>
            </w:r>
          </w:p>
        </w:tc>
        <w:tc>
          <w:tcPr>
            <w:tcW w:w="6521" w:type="dxa"/>
            <w:shd w:val="clear" w:color="auto" w:fill="FFFFFF" w:themeFill="background1"/>
            <w:vAlign w:val="center"/>
          </w:tcPr>
          <w:p w:rsidR="00BC2132" w:rsidRPr="00A874FD" w:rsidRDefault="00BC2132" w:rsidP="00A874FD">
            <w:pPr>
              <w:ind w:firstLine="0"/>
              <w:jc w:val="left"/>
              <w:rPr>
                <w:bCs/>
                <w:sz w:val="24"/>
                <w:szCs w:val="24"/>
              </w:rPr>
            </w:pPr>
            <w:r w:rsidRPr="001B4B37">
              <w:rPr>
                <w:sz w:val="24"/>
                <w:szCs w:val="24"/>
              </w:rPr>
              <w:t>Государственная программа, подпрограмма, ответственный исполнитель</w:t>
            </w:r>
          </w:p>
        </w:tc>
        <w:tc>
          <w:tcPr>
            <w:tcW w:w="1560" w:type="dxa"/>
            <w:shd w:val="clear" w:color="auto" w:fill="FFFFFF" w:themeFill="background1"/>
          </w:tcPr>
          <w:p w:rsidR="00BC2132" w:rsidRDefault="00BC2132" w:rsidP="00A874FD">
            <w:pPr>
              <w:ind w:firstLine="0"/>
              <w:jc w:val="center"/>
              <w:rPr>
                <w:bCs/>
                <w:sz w:val="24"/>
                <w:szCs w:val="24"/>
              </w:rPr>
            </w:pPr>
            <w:r w:rsidRPr="001B4B37">
              <w:rPr>
                <w:bCs/>
                <w:sz w:val="24"/>
                <w:szCs w:val="24"/>
              </w:rPr>
              <w:t xml:space="preserve">К1 </w:t>
            </w:r>
          </w:p>
          <w:p w:rsidR="00BC2132" w:rsidRPr="00A874FD" w:rsidRDefault="00BC2132" w:rsidP="00A874FD">
            <w:pPr>
              <w:ind w:firstLine="0"/>
              <w:jc w:val="center"/>
              <w:rPr>
                <w:bCs/>
                <w:sz w:val="24"/>
                <w:szCs w:val="24"/>
              </w:rPr>
            </w:pPr>
            <w:r w:rsidRPr="001B4B37">
              <w:rPr>
                <w:bCs/>
                <w:sz w:val="24"/>
                <w:szCs w:val="24"/>
              </w:rPr>
              <w:t>(степень достижения показателей)</w:t>
            </w:r>
          </w:p>
        </w:tc>
        <w:tc>
          <w:tcPr>
            <w:tcW w:w="1559" w:type="dxa"/>
            <w:shd w:val="clear" w:color="auto" w:fill="FFFFFF" w:themeFill="background1"/>
          </w:tcPr>
          <w:p w:rsidR="00BC2132" w:rsidRDefault="00BC2132" w:rsidP="00A874FD">
            <w:pPr>
              <w:ind w:firstLine="0"/>
              <w:jc w:val="center"/>
              <w:rPr>
                <w:bCs/>
                <w:sz w:val="24"/>
                <w:szCs w:val="24"/>
              </w:rPr>
            </w:pPr>
            <w:r w:rsidRPr="001B4B37">
              <w:rPr>
                <w:bCs/>
                <w:sz w:val="24"/>
                <w:szCs w:val="24"/>
              </w:rPr>
              <w:t xml:space="preserve">К2 </w:t>
            </w:r>
          </w:p>
          <w:p w:rsidR="00BC2132" w:rsidRPr="00A874FD" w:rsidRDefault="00BC2132" w:rsidP="00A874FD">
            <w:pPr>
              <w:ind w:firstLine="0"/>
              <w:jc w:val="center"/>
              <w:rPr>
                <w:bCs/>
                <w:sz w:val="24"/>
                <w:szCs w:val="24"/>
              </w:rPr>
            </w:pPr>
            <w:r w:rsidRPr="001B4B37">
              <w:rPr>
                <w:bCs/>
                <w:sz w:val="24"/>
                <w:szCs w:val="24"/>
              </w:rPr>
              <w:t>(динамика значений показателей)</w:t>
            </w:r>
          </w:p>
        </w:tc>
        <w:tc>
          <w:tcPr>
            <w:tcW w:w="1701" w:type="dxa"/>
            <w:shd w:val="clear" w:color="auto" w:fill="FFFFFF" w:themeFill="background1"/>
          </w:tcPr>
          <w:p w:rsidR="00BC2132" w:rsidRDefault="00BC2132" w:rsidP="00A874FD">
            <w:pPr>
              <w:ind w:firstLine="0"/>
              <w:jc w:val="center"/>
              <w:rPr>
                <w:bCs/>
                <w:sz w:val="24"/>
                <w:szCs w:val="24"/>
              </w:rPr>
            </w:pPr>
            <w:r w:rsidRPr="001B4B37">
              <w:rPr>
                <w:bCs/>
                <w:sz w:val="24"/>
                <w:szCs w:val="24"/>
              </w:rPr>
              <w:t xml:space="preserve">К3 </w:t>
            </w:r>
          </w:p>
          <w:p w:rsidR="00BC2132" w:rsidRPr="00A874FD" w:rsidRDefault="00BC2132" w:rsidP="00A874FD">
            <w:pPr>
              <w:ind w:firstLine="0"/>
              <w:jc w:val="center"/>
              <w:rPr>
                <w:bCs/>
                <w:sz w:val="24"/>
                <w:szCs w:val="24"/>
              </w:rPr>
            </w:pPr>
            <w:r w:rsidRPr="001B4B37">
              <w:rPr>
                <w:bCs/>
                <w:sz w:val="24"/>
                <w:szCs w:val="24"/>
              </w:rPr>
              <w:t>(степень выполнения мероприятий)</w:t>
            </w:r>
          </w:p>
        </w:tc>
        <w:tc>
          <w:tcPr>
            <w:tcW w:w="1984" w:type="dxa"/>
            <w:shd w:val="clear" w:color="auto" w:fill="FFFFFF" w:themeFill="background1"/>
          </w:tcPr>
          <w:p w:rsidR="00BC2132" w:rsidRPr="00A874FD" w:rsidRDefault="00BC2132" w:rsidP="00A874FD">
            <w:pPr>
              <w:ind w:firstLine="0"/>
              <w:jc w:val="center"/>
              <w:rPr>
                <w:bCs/>
                <w:sz w:val="24"/>
                <w:szCs w:val="24"/>
              </w:rPr>
            </w:pPr>
            <w:r w:rsidRPr="001B4B37">
              <w:rPr>
                <w:bCs/>
                <w:sz w:val="24"/>
                <w:szCs w:val="24"/>
              </w:rPr>
              <w:t>ЭГП (интегральный показатель эффективности)</w:t>
            </w:r>
          </w:p>
        </w:tc>
        <w:tc>
          <w:tcPr>
            <w:tcW w:w="1843" w:type="dxa"/>
            <w:shd w:val="clear" w:color="auto" w:fill="FFFFFF" w:themeFill="background1"/>
          </w:tcPr>
          <w:p w:rsidR="00BC2132" w:rsidRPr="00A874FD" w:rsidRDefault="00BC2132" w:rsidP="00A874FD">
            <w:pPr>
              <w:ind w:firstLine="0"/>
              <w:jc w:val="center"/>
              <w:rPr>
                <w:bCs/>
                <w:sz w:val="24"/>
                <w:szCs w:val="24"/>
              </w:rPr>
            </w:pPr>
            <w:r w:rsidRPr="001B4B37">
              <w:rPr>
                <w:bCs/>
                <w:sz w:val="24"/>
                <w:szCs w:val="24"/>
              </w:rPr>
              <w:t>Оценка</w:t>
            </w:r>
          </w:p>
        </w:tc>
      </w:tr>
      <w:tr w:rsidR="004A1BF9" w:rsidRPr="00BC2132" w:rsidTr="00733E0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73"/>
        </w:trPr>
        <w:tc>
          <w:tcPr>
            <w:tcW w:w="567" w:type="dxa"/>
            <w:tcBorders>
              <w:top w:val="single" w:sz="4" w:space="0" w:color="auto"/>
              <w:left w:val="single" w:sz="4" w:space="0" w:color="auto"/>
              <w:bottom w:val="single" w:sz="4" w:space="0" w:color="auto"/>
              <w:right w:val="single" w:sz="4" w:space="0" w:color="auto"/>
            </w:tcBorders>
          </w:tcPr>
          <w:p w:rsidR="004A1BF9" w:rsidRPr="00BC2132" w:rsidRDefault="004A1BF9" w:rsidP="00BC2132">
            <w:pPr>
              <w:ind w:firstLine="0"/>
              <w:jc w:val="center"/>
              <w:rPr>
                <w:bCs/>
                <w:sz w:val="24"/>
                <w:szCs w:val="24"/>
              </w:rPr>
            </w:pPr>
            <w:r w:rsidRPr="00BC2132">
              <w:rPr>
                <w:bCs/>
                <w:sz w:val="24"/>
                <w:szCs w:val="24"/>
              </w:rPr>
              <w:t>1</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1BF9" w:rsidRPr="00BC2132" w:rsidRDefault="004A1BF9" w:rsidP="00BC2132">
            <w:pPr>
              <w:ind w:firstLine="0"/>
              <w:jc w:val="left"/>
              <w:rPr>
                <w:bCs/>
                <w:sz w:val="22"/>
              </w:rPr>
            </w:pPr>
            <w:r w:rsidRPr="00BC2132">
              <w:rPr>
                <w:bCs/>
                <w:sz w:val="22"/>
              </w:rPr>
              <w:t>«Развитие здравоохранения»</w:t>
            </w:r>
            <w:r w:rsidRPr="00BC2132">
              <w:rPr>
                <w:sz w:val="22"/>
              </w:rPr>
              <w:t xml:space="preserve"> (Минздрав МО)</w:t>
            </w:r>
          </w:p>
        </w:tc>
        <w:tc>
          <w:tcPr>
            <w:tcW w:w="1560" w:type="dxa"/>
            <w:tcBorders>
              <w:top w:val="single" w:sz="4" w:space="0" w:color="auto"/>
              <w:left w:val="nil"/>
              <w:bottom w:val="single" w:sz="4" w:space="0" w:color="auto"/>
              <w:right w:val="single" w:sz="4" w:space="0" w:color="auto"/>
            </w:tcBorders>
            <w:shd w:val="clear" w:color="auto" w:fill="FFFF00"/>
            <w:vAlign w:val="center"/>
            <w:hideMark/>
          </w:tcPr>
          <w:p w:rsidR="004A1BF9" w:rsidRDefault="004A1BF9" w:rsidP="004A1BF9">
            <w:pPr>
              <w:ind w:firstLine="0"/>
              <w:jc w:val="center"/>
              <w:rPr>
                <w:b/>
                <w:bCs/>
                <w:sz w:val="18"/>
                <w:szCs w:val="18"/>
                <w:u w:val="single"/>
              </w:rPr>
            </w:pPr>
            <w:r>
              <w:rPr>
                <w:b/>
                <w:bCs/>
                <w:sz w:val="18"/>
                <w:szCs w:val="18"/>
                <w:u w:val="single"/>
              </w:rPr>
              <w:t>95,2</w:t>
            </w:r>
            <w:r w:rsidR="00483A92">
              <w:rPr>
                <w:b/>
                <w:bCs/>
                <w:sz w:val="18"/>
                <w:szCs w:val="18"/>
                <w:u w:val="single"/>
              </w:rPr>
              <w:t>%</w:t>
            </w:r>
          </w:p>
        </w:tc>
        <w:tc>
          <w:tcPr>
            <w:tcW w:w="1559" w:type="dxa"/>
            <w:tcBorders>
              <w:top w:val="single" w:sz="4" w:space="0" w:color="auto"/>
              <w:left w:val="nil"/>
              <w:bottom w:val="single" w:sz="4" w:space="0" w:color="auto"/>
              <w:right w:val="single" w:sz="4" w:space="0" w:color="auto"/>
            </w:tcBorders>
            <w:shd w:val="clear" w:color="000000" w:fill="99FF99"/>
            <w:vAlign w:val="center"/>
            <w:hideMark/>
          </w:tcPr>
          <w:p w:rsidR="004A1BF9" w:rsidRDefault="004A1BF9" w:rsidP="004A1BF9">
            <w:pPr>
              <w:ind w:firstLine="0"/>
              <w:jc w:val="center"/>
              <w:rPr>
                <w:b/>
                <w:bCs/>
                <w:sz w:val="18"/>
                <w:szCs w:val="18"/>
                <w:u w:val="single"/>
              </w:rPr>
            </w:pPr>
            <w:r>
              <w:rPr>
                <w:b/>
                <w:bCs/>
                <w:sz w:val="18"/>
                <w:szCs w:val="18"/>
                <w:u w:val="single"/>
              </w:rPr>
              <w:t>98,2</w:t>
            </w:r>
          </w:p>
        </w:tc>
        <w:tc>
          <w:tcPr>
            <w:tcW w:w="1701" w:type="dxa"/>
            <w:tcBorders>
              <w:top w:val="single" w:sz="4" w:space="0" w:color="auto"/>
              <w:left w:val="nil"/>
              <w:bottom w:val="single" w:sz="4" w:space="0" w:color="auto"/>
              <w:right w:val="single" w:sz="4" w:space="0" w:color="auto"/>
            </w:tcBorders>
            <w:shd w:val="clear" w:color="auto" w:fill="E5B8B7" w:themeFill="accent2" w:themeFillTint="66"/>
            <w:vAlign w:val="center"/>
            <w:hideMark/>
          </w:tcPr>
          <w:p w:rsidR="004A1BF9" w:rsidRDefault="004A1BF9" w:rsidP="004A1BF9">
            <w:pPr>
              <w:ind w:firstLine="34"/>
              <w:jc w:val="center"/>
              <w:rPr>
                <w:b/>
                <w:bCs/>
                <w:sz w:val="18"/>
                <w:szCs w:val="18"/>
                <w:u w:val="single"/>
              </w:rPr>
            </w:pPr>
            <w:r>
              <w:rPr>
                <w:b/>
                <w:bCs/>
                <w:sz w:val="18"/>
                <w:szCs w:val="18"/>
                <w:u w:val="single"/>
              </w:rPr>
              <w:t>83,2%</w:t>
            </w:r>
          </w:p>
        </w:tc>
        <w:tc>
          <w:tcPr>
            <w:tcW w:w="1984" w:type="dxa"/>
            <w:tcBorders>
              <w:top w:val="single" w:sz="4" w:space="0" w:color="auto"/>
              <w:left w:val="nil"/>
              <w:bottom w:val="single" w:sz="4" w:space="0" w:color="auto"/>
              <w:right w:val="single" w:sz="4" w:space="0" w:color="auto"/>
            </w:tcBorders>
            <w:shd w:val="clear" w:color="auto" w:fill="FFC000"/>
            <w:vAlign w:val="center"/>
            <w:hideMark/>
          </w:tcPr>
          <w:p w:rsidR="004A1BF9" w:rsidRDefault="004A1BF9" w:rsidP="004A1BF9">
            <w:pPr>
              <w:ind w:firstLine="0"/>
              <w:jc w:val="center"/>
              <w:rPr>
                <w:b/>
                <w:bCs/>
                <w:sz w:val="18"/>
                <w:szCs w:val="18"/>
                <w:u w:val="single"/>
              </w:rPr>
            </w:pPr>
            <w:r>
              <w:rPr>
                <w:b/>
                <w:bCs/>
                <w:sz w:val="18"/>
                <w:szCs w:val="18"/>
                <w:u w:val="single"/>
              </w:rPr>
              <w:t>90,99%</w:t>
            </w:r>
          </w:p>
        </w:tc>
        <w:tc>
          <w:tcPr>
            <w:tcW w:w="1843" w:type="dxa"/>
            <w:tcBorders>
              <w:top w:val="single" w:sz="4" w:space="0" w:color="auto"/>
              <w:left w:val="nil"/>
              <w:bottom w:val="single" w:sz="4" w:space="0" w:color="auto"/>
              <w:right w:val="single" w:sz="4" w:space="0" w:color="auto"/>
            </w:tcBorders>
            <w:shd w:val="clear" w:color="auto" w:fill="FFC000"/>
            <w:vAlign w:val="center"/>
            <w:hideMark/>
          </w:tcPr>
          <w:p w:rsidR="004A1BF9" w:rsidRDefault="004A1BF9" w:rsidP="004A1BF9">
            <w:pPr>
              <w:ind w:firstLine="0"/>
              <w:jc w:val="center"/>
              <w:rPr>
                <w:b/>
                <w:bCs/>
                <w:sz w:val="18"/>
                <w:szCs w:val="18"/>
                <w:u w:val="single"/>
              </w:rPr>
            </w:pPr>
            <w:r>
              <w:rPr>
                <w:b/>
                <w:bCs/>
                <w:sz w:val="18"/>
                <w:szCs w:val="18"/>
                <w:u w:val="single"/>
              </w:rPr>
              <w:t>Ниже среднего</w:t>
            </w:r>
          </w:p>
        </w:tc>
      </w:tr>
      <w:tr w:rsidR="004A1BF9" w:rsidRPr="00BC2132" w:rsidTr="00733E0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0"/>
        </w:trPr>
        <w:tc>
          <w:tcPr>
            <w:tcW w:w="567" w:type="dxa"/>
            <w:tcBorders>
              <w:top w:val="nil"/>
              <w:left w:val="single" w:sz="4" w:space="0" w:color="auto"/>
              <w:bottom w:val="single" w:sz="4" w:space="0" w:color="auto"/>
              <w:right w:val="single" w:sz="4" w:space="0" w:color="auto"/>
            </w:tcBorders>
          </w:tcPr>
          <w:p w:rsidR="004A1BF9" w:rsidRPr="00BC2132" w:rsidRDefault="004A1BF9" w:rsidP="00BC2132">
            <w:pPr>
              <w:ind w:firstLine="0"/>
              <w:jc w:val="center"/>
              <w:rPr>
                <w:bCs/>
                <w:sz w:val="24"/>
                <w:szCs w:val="24"/>
              </w:rPr>
            </w:pPr>
            <w:r w:rsidRPr="00BC2132">
              <w:rPr>
                <w:bCs/>
                <w:sz w:val="24"/>
                <w:szCs w:val="24"/>
              </w:rPr>
              <w:t>2</w:t>
            </w:r>
          </w:p>
        </w:tc>
        <w:tc>
          <w:tcPr>
            <w:tcW w:w="6521" w:type="dxa"/>
            <w:tcBorders>
              <w:top w:val="nil"/>
              <w:left w:val="single" w:sz="4" w:space="0" w:color="auto"/>
              <w:bottom w:val="single" w:sz="4" w:space="0" w:color="auto"/>
              <w:right w:val="single" w:sz="4" w:space="0" w:color="auto"/>
            </w:tcBorders>
            <w:shd w:val="clear" w:color="auto" w:fill="auto"/>
            <w:vAlign w:val="center"/>
            <w:hideMark/>
          </w:tcPr>
          <w:p w:rsidR="004A1BF9" w:rsidRPr="00BC2132" w:rsidRDefault="004A1BF9" w:rsidP="00BC2132">
            <w:pPr>
              <w:ind w:firstLine="0"/>
              <w:jc w:val="left"/>
              <w:rPr>
                <w:bCs/>
                <w:sz w:val="22"/>
              </w:rPr>
            </w:pPr>
            <w:r>
              <w:rPr>
                <w:bCs/>
                <w:sz w:val="22"/>
              </w:rPr>
              <w:t>«Развитие образования»</w:t>
            </w:r>
            <w:r w:rsidRPr="00BC2132">
              <w:rPr>
                <w:sz w:val="22"/>
              </w:rPr>
              <w:t xml:space="preserve"> (</w:t>
            </w:r>
            <w:proofErr w:type="spellStart"/>
            <w:r w:rsidRPr="00BC2132">
              <w:rPr>
                <w:sz w:val="22"/>
              </w:rPr>
              <w:t>Минобр</w:t>
            </w:r>
            <w:proofErr w:type="spellEnd"/>
            <w:r w:rsidRPr="00BC2132">
              <w:rPr>
                <w:sz w:val="22"/>
              </w:rPr>
              <w:t xml:space="preserve"> МО)</w:t>
            </w:r>
          </w:p>
        </w:tc>
        <w:tc>
          <w:tcPr>
            <w:tcW w:w="1560" w:type="dxa"/>
            <w:tcBorders>
              <w:top w:val="nil"/>
              <w:left w:val="nil"/>
              <w:bottom w:val="single" w:sz="4" w:space="0" w:color="auto"/>
              <w:right w:val="single" w:sz="4" w:space="0" w:color="auto"/>
            </w:tcBorders>
            <w:shd w:val="clear" w:color="000000" w:fill="FFFF00"/>
            <w:vAlign w:val="center"/>
            <w:hideMark/>
          </w:tcPr>
          <w:p w:rsidR="004A1BF9" w:rsidRDefault="004A1BF9" w:rsidP="004A1BF9">
            <w:pPr>
              <w:ind w:firstLine="0"/>
              <w:jc w:val="center"/>
              <w:rPr>
                <w:b/>
                <w:bCs/>
                <w:sz w:val="18"/>
                <w:szCs w:val="18"/>
                <w:u w:val="single"/>
              </w:rPr>
            </w:pPr>
            <w:r>
              <w:rPr>
                <w:b/>
                <w:bCs/>
                <w:sz w:val="18"/>
                <w:szCs w:val="18"/>
                <w:u w:val="single"/>
              </w:rPr>
              <w:t>94,4</w:t>
            </w:r>
            <w:r w:rsidR="00483A92">
              <w:rPr>
                <w:b/>
                <w:bCs/>
                <w:sz w:val="18"/>
                <w:szCs w:val="18"/>
                <w:u w:val="single"/>
              </w:rPr>
              <w:t>%</w:t>
            </w:r>
          </w:p>
        </w:tc>
        <w:tc>
          <w:tcPr>
            <w:tcW w:w="1559" w:type="dxa"/>
            <w:tcBorders>
              <w:top w:val="nil"/>
              <w:left w:val="nil"/>
              <w:bottom w:val="single" w:sz="4" w:space="0" w:color="auto"/>
              <w:right w:val="single" w:sz="4" w:space="0" w:color="auto"/>
            </w:tcBorders>
            <w:shd w:val="clear" w:color="000000" w:fill="99FF99"/>
            <w:vAlign w:val="center"/>
            <w:hideMark/>
          </w:tcPr>
          <w:p w:rsidR="004A1BF9" w:rsidRDefault="004A1BF9" w:rsidP="004A1BF9">
            <w:pPr>
              <w:ind w:firstLine="0"/>
              <w:jc w:val="center"/>
              <w:rPr>
                <w:b/>
                <w:bCs/>
                <w:sz w:val="18"/>
                <w:szCs w:val="18"/>
                <w:u w:val="single"/>
              </w:rPr>
            </w:pPr>
            <w:r>
              <w:rPr>
                <w:b/>
                <w:bCs/>
                <w:sz w:val="18"/>
                <w:szCs w:val="18"/>
                <w:u w:val="single"/>
              </w:rPr>
              <w:t>97,7%</w:t>
            </w:r>
          </w:p>
        </w:tc>
        <w:tc>
          <w:tcPr>
            <w:tcW w:w="1701" w:type="dxa"/>
            <w:tcBorders>
              <w:top w:val="nil"/>
              <w:left w:val="nil"/>
              <w:bottom w:val="single" w:sz="4" w:space="0" w:color="auto"/>
              <w:right w:val="single" w:sz="4" w:space="0" w:color="auto"/>
            </w:tcBorders>
            <w:shd w:val="clear" w:color="auto" w:fill="E5B8B7" w:themeFill="accent2" w:themeFillTint="66"/>
            <w:vAlign w:val="center"/>
            <w:hideMark/>
          </w:tcPr>
          <w:p w:rsidR="004A1BF9" w:rsidRDefault="004A1BF9" w:rsidP="004A1BF9">
            <w:pPr>
              <w:ind w:firstLine="34"/>
              <w:jc w:val="center"/>
              <w:rPr>
                <w:b/>
                <w:bCs/>
                <w:sz w:val="18"/>
                <w:szCs w:val="18"/>
                <w:u w:val="single"/>
              </w:rPr>
            </w:pPr>
            <w:r>
              <w:rPr>
                <w:b/>
                <w:bCs/>
                <w:sz w:val="18"/>
                <w:szCs w:val="18"/>
                <w:u w:val="single"/>
              </w:rPr>
              <w:t>76,9%</w:t>
            </w:r>
          </w:p>
        </w:tc>
        <w:tc>
          <w:tcPr>
            <w:tcW w:w="1984" w:type="dxa"/>
            <w:tcBorders>
              <w:top w:val="nil"/>
              <w:left w:val="nil"/>
              <w:bottom w:val="single" w:sz="4" w:space="0" w:color="auto"/>
              <w:right w:val="single" w:sz="4" w:space="0" w:color="auto"/>
            </w:tcBorders>
            <w:shd w:val="clear" w:color="auto" w:fill="FFC000"/>
            <w:vAlign w:val="center"/>
            <w:hideMark/>
          </w:tcPr>
          <w:p w:rsidR="004A1BF9" w:rsidRDefault="004A1BF9" w:rsidP="004A1BF9">
            <w:pPr>
              <w:ind w:firstLine="0"/>
              <w:jc w:val="center"/>
              <w:rPr>
                <w:b/>
                <w:bCs/>
                <w:sz w:val="18"/>
                <w:szCs w:val="18"/>
                <w:u w:val="single"/>
              </w:rPr>
            </w:pPr>
            <w:r>
              <w:rPr>
                <w:b/>
                <w:bCs/>
                <w:sz w:val="18"/>
                <w:szCs w:val="18"/>
                <w:u w:val="single"/>
              </w:rPr>
              <w:t>88,36%</w:t>
            </w:r>
          </w:p>
        </w:tc>
        <w:tc>
          <w:tcPr>
            <w:tcW w:w="1843" w:type="dxa"/>
            <w:tcBorders>
              <w:top w:val="nil"/>
              <w:left w:val="nil"/>
              <w:bottom w:val="single" w:sz="4" w:space="0" w:color="auto"/>
              <w:right w:val="single" w:sz="4" w:space="0" w:color="auto"/>
            </w:tcBorders>
            <w:shd w:val="clear" w:color="auto" w:fill="FFC000"/>
            <w:vAlign w:val="center"/>
            <w:hideMark/>
          </w:tcPr>
          <w:p w:rsidR="004A1BF9" w:rsidRDefault="004A1BF9" w:rsidP="004A1BF9">
            <w:pPr>
              <w:ind w:firstLine="0"/>
              <w:jc w:val="center"/>
              <w:rPr>
                <w:b/>
                <w:bCs/>
                <w:sz w:val="18"/>
                <w:szCs w:val="18"/>
                <w:u w:val="single"/>
              </w:rPr>
            </w:pPr>
            <w:r>
              <w:rPr>
                <w:b/>
                <w:bCs/>
                <w:sz w:val="18"/>
                <w:szCs w:val="18"/>
                <w:u w:val="single"/>
              </w:rPr>
              <w:t>Ниже среднего</w:t>
            </w:r>
          </w:p>
        </w:tc>
      </w:tr>
      <w:tr w:rsidR="004A1BF9" w:rsidRPr="00BC2132" w:rsidTr="00733E0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1"/>
        </w:trPr>
        <w:tc>
          <w:tcPr>
            <w:tcW w:w="567" w:type="dxa"/>
            <w:tcBorders>
              <w:top w:val="nil"/>
              <w:left w:val="single" w:sz="4" w:space="0" w:color="auto"/>
              <w:bottom w:val="single" w:sz="4" w:space="0" w:color="auto"/>
              <w:right w:val="single" w:sz="4" w:space="0" w:color="auto"/>
            </w:tcBorders>
          </w:tcPr>
          <w:p w:rsidR="004A1BF9" w:rsidRPr="00BC2132" w:rsidRDefault="004A1BF9" w:rsidP="00BC2132">
            <w:pPr>
              <w:ind w:firstLine="0"/>
              <w:jc w:val="center"/>
              <w:rPr>
                <w:bCs/>
                <w:sz w:val="24"/>
                <w:szCs w:val="24"/>
              </w:rPr>
            </w:pPr>
            <w:r w:rsidRPr="00BC2132">
              <w:rPr>
                <w:bCs/>
                <w:sz w:val="24"/>
                <w:szCs w:val="24"/>
              </w:rPr>
              <w:t>3</w:t>
            </w:r>
          </w:p>
        </w:tc>
        <w:tc>
          <w:tcPr>
            <w:tcW w:w="6521" w:type="dxa"/>
            <w:tcBorders>
              <w:top w:val="nil"/>
              <w:left w:val="single" w:sz="4" w:space="0" w:color="auto"/>
              <w:bottom w:val="single" w:sz="4" w:space="0" w:color="auto"/>
              <w:right w:val="single" w:sz="4" w:space="0" w:color="auto"/>
            </w:tcBorders>
            <w:shd w:val="clear" w:color="auto" w:fill="auto"/>
            <w:vAlign w:val="center"/>
            <w:hideMark/>
          </w:tcPr>
          <w:p w:rsidR="004A1BF9" w:rsidRPr="00BC2132" w:rsidRDefault="004A1BF9" w:rsidP="00BC2132">
            <w:pPr>
              <w:ind w:firstLine="0"/>
              <w:jc w:val="left"/>
              <w:rPr>
                <w:bCs/>
                <w:sz w:val="22"/>
              </w:rPr>
            </w:pPr>
            <w:r>
              <w:rPr>
                <w:bCs/>
                <w:sz w:val="22"/>
              </w:rPr>
              <w:t>«</w:t>
            </w:r>
            <w:r w:rsidRPr="00BC2132">
              <w:rPr>
                <w:bCs/>
                <w:sz w:val="22"/>
              </w:rPr>
              <w:t xml:space="preserve">Социальная поддержка граждан" </w:t>
            </w:r>
            <w:r w:rsidRPr="00BC2132">
              <w:rPr>
                <w:sz w:val="22"/>
              </w:rPr>
              <w:t>(</w:t>
            </w:r>
            <w:proofErr w:type="spellStart"/>
            <w:r w:rsidRPr="00BC2132">
              <w:rPr>
                <w:sz w:val="22"/>
              </w:rPr>
              <w:t>Минсоцразвития</w:t>
            </w:r>
            <w:proofErr w:type="spellEnd"/>
            <w:r w:rsidRPr="00BC2132">
              <w:rPr>
                <w:sz w:val="22"/>
              </w:rPr>
              <w:t xml:space="preserve"> МО)</w:t>
            </w:r>
          </w:p>
        </w:tc>
        <w:tc>
          <w:tcPr>
            <w:tcW w:w="1560" w:type="dxa"/>
            <w:tcBorders>
              <w:top w:val="nil"/>
              <w:left w:val="nil"/>
              <w:bottom w:val="single" w:sz="4" w:space="0" w:color="auto"/>
              <w:right w:val="single" w:sz="4" w:space="0" w:color="auto"/>
            </w:tcBorders>
            <w:shd w:val="clear" w:color="auto" w:fill="FFFF00"/>
            <w:vAlign w:val="center"/>
            <w:hideMark/>
          </w:tcPr>
          <w:p w:rsidR="004A1BF9" w:rsidRDefault="004A1BF9" w:rsidP="004A1BF9">
            <w:pPr>
              <w:ind w:firstLine="0"/>
              <w:jc w:val="center"/>
              <w:rPr>
                <w:b/>
                <w:bCs/>
                <w:sz w:val="18"/>
                <w:szCs w:val="18"/>
                <w:u w:val="single"/>
              </w:rPr>
            </w:pPr>
            <w:r>
              <w:rPr>
                <w:b/>
                <w:bCs/>
                <w:sz w:val="18"/>
                <w:szCs w:val="18"/>
                <w:u w:val="single"/>
              </w:rPr>
              <w:t>93,65</w:t>
            </w:r>
            <w:r w:rsidR="00483A92">
              <w:rPr>
                <w:b/>
                <w:bCs/>
                <w:sz w:val="18"/>
                <w:szCs w:val="18"/>
                <w:u w:val="single"/>
              </w:rPr>
              <w:t>%</w:t>
            </w:r>
          </w:p>
        </w:tc>
        <w:tc>
          <w:tcPr>
            <w:tcW w:w="1559" w:type="dxa"/>
            <w:tcBorders>
              <w:top w:val="nil"/>
              <w:left w:val="nil"/>
              <w:bottom w:val="single" w:sz="4" w:space="0" w:color="auto"/>
              <w:right w:val="single" w:sz="4" w:space="0" w:color="auto"/>
            </w:tcBorders>
            <w:shd w:val="clear" w:color="auto" w:fill="FFC000"/>
            <w:vAlign w:val="center"/>
            <w:hideMark/>
          </w:tcPr>
          <w:p w:rsidR="004A1BF9" w:rsidRDefault="004A1BF9" w:rsidP="004A1BF9">
            <w:pPr>
              <w:ind w:firstLine="0"/>
              <w:jc w:val="center"/>
              <w:rPr>
                <w:b/>
                <w:bCs/>
                <w:sz w:val="18"/>
                <w:szCs w:val="18"/>
                <w:u w:val="single"/>
              </w:rPr>
            </w:pPr>
            <w:r>
              <w:rPr>
                <w:b/>
                <w:bCs/>
                <w:sz w:val="18"/>
                <w:szCs w:val="18"/>
                <w:u w:val="single"/>
              </w:rPr>
              <w:t>89,01%</w:t>
            </w:r>
          </w:p>
        </w:tc>
        <w:tc>
          <w:tcPr>
            <w:tcW w:w="1701" w:type="dxa"/>
            <w:tcBorders>
              <w:top w:val="nil"/>
              <w:left w:val="nil"/>
              <w:bottom w:val="single" w:sz="4" w:space="0" w:color="auto"/>
              <w:right w:val="single" w:sz="4" w:space="0" w:color="auto"/>
            </w:tcBorders>
            <w:shd w:val="clear" w:color="000000" w:fill="E6B9B8"/>
            <w:vAlign w:val="center"/>
            <w:hideMark/>
          </w:tcPr>
          <w:p w:rsidR="004A1BF9" w:rsidRDefault="004A1BF9" w:rsidP="004A1BF9">
            <w:pPr>
              <w:ind w:firstLine="34"/>
              <w:jc w:val="center"/>
              <w:rPr>
                <w:b/>
                <w:bCs/>
                <w:sz w:val="18"/>
                <w:szCs w:val="18"/>
                <w:u w:val="single"/>
              </w:rPr>
            </w:pPr>
            <w:r>
              <w:rPr>
                <w:b/>
                <w:bCs/>
                <w:sz w:val="18"/>
                <w:szCs w:val="18"/>
                <w:u w:val="single"/>
              </w:rPr>
              <w:t>81,82%</w:t>
            </w:r>
          </w:p>
        </w:tc>
        <w:tc>
          <w:tcPr>
            <w:tcW w:w="1984" w:type="dxa"/>
            <w:tcBorders>
              <w:top w:val="nil"/>
              <w:left w:val="nil"/>
              <w:bottom w:val="single" w:sz="4" w:space="0" w:color="auto"/>
              <w:right w:val="single" w:sz="4" w:space="0" w:color="auto"/>
            </w:tcBorders>
            <w:shd w:val="clear" w:color="auto" w:fill="FFC000"/>
            <w:vAlign w:val="center"/>
            <w:hideMark/>
          </w:tcPr>
          <w:p w:rsidR="004A1BF9" w:rsidRDefault="004A1BF9" w:rsidP="004A1BF9">
            <w:pPr>
              <w:ind w:firstLine="0"/>
              <w:jc w:val="center"/>
              <w:rPr>
                <w:b/>
                <w:bCs/>
                <w:sz w:val="18"/>
                <w:szCs w:val="18"/>
                <w:u w:val="single"/>
              </w:rPr>
            </w:pPr>
            <w:r>
              <w:rPr>
                <w:b/>
                <w:bCs/>
                <w:sz w:val="18"/>
                <w:szCs w:val="18"/>
                <w:u w:val="single"/>
              </w:rPr>
              <w:t>86,84%</w:t>
            </w:r>
          </w:p>
        </w:tc>
        <w:tc>
          <w:tcPr>
            <w:tcW w:w="1843" w:type="dxa"/>
            <w:tcBorders>
              <w:top w:val="nil"/>
              <w:left w:val="nil"/>
              <w:bottom w:val="single" w:sz="4" w:space="0" w:color="auto"/>
              <w:right w:val="single" w:sz="4" w:space="0" w:color="auto"/>
            </w:tcBorders>
            <w:shd w:val="clear" w:color="auto" w:fill="FFC000"/>
            <w:vAlign w:val="center"/>
            <w:hideMark/>
          </w:tcPr>
          <w:p w:rsidR="004A1BF9" w:rsidRDefault="004A1BF9" w:rsidP="004A1BF9">
            <w:pPr>
              <w:ind w:firstLine="0"/>
              <w:jc w:val="center"/>
              <w:rPr>
                <w:b/>
                <w:bCs/>
                <w:sz w:val="18"/>
                <w:szCs w:val="18"/>
                <w:u w:val="single"/>
              </w:rPr>
            </w:pPr>
            <w:r>
              <w:rPr>
                <w:b/>
                <w:bCs/>
                <w:sz w:val="18"/>
                <w:szCs w:val="18"/>
                <w:u w:val="single"/>
              </w:rPr>
              <w:t>Ниже среднего</w:t>
            </w:r>
          </w:p>
        </w:tc>
      </w:tr>
      <w:tr w:rsidR="004A1BF9" w:rsidRPr="00BC2132" w:rsidTr="00733E0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0"/>
        </w:trPr>
        <w:tc>
          <w:tcPr>
            <w:tcW w:w="567" w:type="dxa"/>
            <w:tcBorders>
              <w:top w:val="nil"/>
              <w:left w:val="single" w:sz="4" w:space="0" w:color="auto"/>
              <w:bottom w:val="single" w:sz="4" w:space="0" w:color="auto"/>
              <w:right w:val="single" w:sz="4" w:space="0" w:color="auto"/>
            </w:tcBorders>
          </w:tcPr>
          <w:p w:rsidR="004A1BF9" w:rsidRPr="00BC2132" w:rsidRDefault="004A1BF9" w:rsidP="00BC2132">
            <w:pPr>
              <w:ind w:firstLine="0"/>
              <w:jc w:val="center"/>
              <w:rPr>
                <w:bCs/>
                <w:sz w:val="24"/>
                <w:szCs w:val="24"/>
              </w:rPr>
            </w:pPr>
            <w:r w:rsidRPr="00BC2132">
              <w:rPr>
                <w:bCs/>
                <w:sz w:val="24"/>
                <w:szCs w:val="24"/>
              </w:rPr>
              <w:t>4</w:t>
            </w:r>
          </w:p>
        </w:tc>
        <w:tc>
          <w:tcPr>
            <w:tcW w:w="6521" w:type="dxa"/>
            <w:tcBorders>
              <w:top w:val="nil"/>
              <w:left w:val="single" w:sz="4" w:space="0" w:color="auto"/>
              <w:bottom w:val="single" w:sz="4" w:space="0" w:color="auto"/>
              <w:right w:val="single" w:sz="4" w:space="0" w:color="auto"/>
            </w:tcBorders>
            <w:shd w:val="clear" w:color="auto" w:fill="auto"/>
            <w:vAlign w:val="center"/>
            <w:hideMark/>
          </w:tcPr>
          <w:p w:rsidR="004A1BF9" w:rsidRDefault="004A1BF9" w:rsidP="00BC2132">
            <w:pPr>
              <w:ind w:firstLine="0"/>
              <w:jc w:val="left"/>
              <w:rPr>
                <w:bCs/>
                <w:sz w:val="22"/>
              </w:rPr>
            </w:pPr>
            <w:r>
              <w:rPr>
                <w:bCs/>
                <w:sz w:val="22"/>
              </w:rPr>
              <w:t>«</w:t>
            </w:r>
            <w:r w:rsidRPr="00BC2132">
              <w:rPr>
                <w:bCs/>
                <w:sz w:val="22"/>
              </w:rPr>
              <w:t>Развити</w:t>
            </w:r>
            <w:r>
              <w:rPr>
                <w:bCs/>
                <w:sz w:val="22"/>
              </w:rPr>
              <w:t xml:space="preserve">е физической культуры и спорта» </w:t>
            </w:r>
          </w:p>
          <w:p w:rsidR="004A1BF9" w:rsidRPr="00BC2132" w:rsidRDefault="004A1BF9" w:rsidP="00BC2132">
            <w:pPr>
              <w:ind w:firstLine="0"/>
              <w:jc w:val="left"/>
              <w:rPr>
                <w:bCs/>
                <w:sz w:val="22"/>
              </w:rPr>
            </w:pPr>
            <w:r w:rsidRPr="00BC2132">
              <w:rPr>
                <w:sz w:val="22"/>
              </w:rPr>
              <w:t>(</w:t>
            </w:r>
            <w:proofErr w:type="spellStart"/>
            <w:r w:rsidRPr="00BC2132">
              <w:rPr>
                <w:sz w:val="22"/>
              </w:rPr>
              <w:t>Минспорт</w:t>
            </w:r>
            <w:proofErr w:type="spellEnd"/>
            <w:r w:rsidRPr="00BC2132">
              <w:rPr>
                <w:sz w:val="22"/>
              </w:rPr>
              <w:t xml:space="preserve"> МО)</w:t>
            </w:r>
          </w:p>
        </w:tc>
        <w:tc>
          <w:tcPr>
            <w:tcW w:w="1560" w:type="dxa"/>
            <w:tcBorders>
              <w:top w:val="nil"/>
              <w:left w:val="nil"/>
              <w:bottom w:val="single" w:sz="4" w:space="0" w:color="auto"/>
              <w:right w:val="single" w:sz="4" w:space="0" w:color="auto"/>
            </w:tcBorders>
            <w:shd w:val="clear" w:color="auto" w:fill="FFC000"/>
            <w:vAlign w:val="center"/>
            <w:hideMark/>
          </w:tcPr>
          <w:p w:rsidR="004A1BF9" w:rsidRDefault="004A1BF9" w:rsidP="004A1BF9">
            <w:pPr>
              <w:ind w:firstLine="0"/>
              <w:jc w:val="center"/>
              <w:rPr>
                <w:b/>
                <w:bCs/>
                <w:sz w:val="18"/>
                <w:szCs w:val="18"/>
                <w:u w:val="single"/>
              </w:rPr>
            </w:pPr>
            <w:r>
              <w:rPr>
                <w:b/>
                <w:bCs/>
                <w:sz w:val="18"/>
                <w:szCs w:val="18"/>
                <w:u w:val="single"/>
              </w:rPr>
              <w:t>90,3</w:t>
            </w:r>
            <w:r w:rsidR="00483A92">
              <w:rPr>
                <w:b/>
                <w:bCs/>
                <w:sz w:val="18"/>
                <w:szCs w:val="18"/>
                <w:u w:val="single"/>
              </w:rPr>
              <w:t>%</w:t>
            </w:r>
          </w:p>
        </w:tc>
        <w:tc>
          <w:tcPr>
            <w:tcW w:w="1559" w:type="dxa"/>
            <w:tcBorders>
              <w:top w:val="nil"/>
              <w:left w:val="nil"/>
              <w:bottom w:val="single" w:sz="4" w:space="0" w:color="auto"/>
              <w:right w:val="single" w:sz="4" w:space="0" w:color="auto"/>
            </w:tcBorders>
            <w:shd w:val="clear" w:color="000000" w:fill="99FF99"/>
            <w:vAlign w:val="center"/>
            <w:hideMark/>
          </w:tcPr>
          <w:p w:rsidR="004A1BF9" w:rsidRDefault="004A1BF9" w:rsidP="004A1BF9">
            <w:pPr>
              <w:ind w:firstLine="0"/>
              <w:jc w:val="center"/>
              <w:rPr>
                <w:b/>
                <w:bCs/>
                <w:sz w:val="18"/>
                <w:szCs w:val="18"/>
                <w:u w:val="single"/>
              </w:rPr>
            </w:pPr>
            <w:r>
              <w:rPr>
                <w:b/>
                <w:bCs/>
                <w:sz w:val="18"/>
                <w:szCs w:val="18"/>
                <w:u w:val="single"/>
              </w:rPr>
              <w:t>103,3%</w:t>
            </w:r>
          </w:p>
        </w:tc>
        <w:tc>
          <w:tcPr>
            <w:tcW w:w="1701" w:type="dxa"/>
            <w:tcBorders>
              <w:top w:val="nil"/>
              <w:left w:val="nil"/>
              <w:bottom w:val="single" w:sz="4" w:space="0" w:color="auto"/>
              <w:right w:val="single" w:sz="4" w:space="0" w:color="auto"/>
            </w:tcBorders>
            <w:shd w:val="clear" w:color="000000" w:fill="E6B9B8"/>
            <w:vAlign w:val="center"/>
            <w:hideMark/>
          </w:tcPr>
          <w:p w:rsidR="004A1BF9" w:rsidRDefault="004A1BF9" w:rsidP="004A1BF9">
            <w:pPr>
              <w:ind w:firstLine="34"/>
              <w:jc w:val="center"/>
              <w:rPr>
                <w:b/>
                <w:bCs/>
                <w:sz w:val="18"/>
                <w:szCs w:val="18"/>
                <w:u w:val="single"/>
              </w:rPr>
            </w:pPr>
            <w:r>
              <w:rPr>
                <w:b/>
                <w:bCs/>
                <w:sz w:val="18"/>
                <w:szCs w:val="18"/>
                <w:u w:val="single"/>
              </w:rPr>
              <w:t>71,7%</w:t>
            </w:r>
          </w:p>
        </w:tc>
        <w:tc>
          <w:tcPr>
            <w:tcW w:w="1984" w:type="dxa"/>
            <w:tcBorders>
              <w:top w:val="nil"/>
              <w:left w:val="nil"/>
              <w:bottom w:val="single" w:sz="4" w:space="0" w:color="auto"/>
              <w:right w:val="single" w:sz="4" w:space="0" w:color="auto"/>
            </w:tcBorders>
            <w:shd w:val="clear" w:color="000000" w:fill="FFC000"/>
            <w:vAlign w:val="center"/>
            <w:hideMark/>
          </w:tcPr>
          <w:p w:rsidR="004A1BF9" w:rsidRDefault="004A1BF9" w:rsidP="004A1BF9">
            <w:pPr>
              <w:ind w:firstLine="0"/>
              <w:jc w:val="center"/>
              <w:rPr>
                <w:b/>
                <w:bCs/>
                <w:sz w:val="18"/>
                <w:szCs w:val="18"/>
                <w:u w:val="single"/>
              </w:rPr>
            </w:pPr>
            <w:r>
              <w:rPr>
                <w:b/>
                <w:bCs/>
                <w:sz w:val="18"/>
                <w:szCs w:val="18"/>
                <w:u w:val="single"/>
              </w:rPr>
              <w:t>87,29%</w:t>
            </w:r>
          </w:p>
        </w:tc>
        <w:tc>
          <w:tcPr>
            <w:tcW w:w="1843" w:type="dxa"/>
            <w:tcBorders>
              <w:top w:val="nil"/>
              <w:left w:val="nil"/>
              <w:bottom w:val="single" w:sz="4" w:space="0" w:color="auto"/>
              <w:right w:val="single" w:sz="4" w:space="0" w:color="auto"/>
            </w:tcBorders>
            <w:shd w:val="clear" w:color="000000" w:fill="FFC000"/>
            <w:vAlign w:val="center"/>
            <w:hideMark/>
          </w:tcPr>
          <w:p w:rsidR="004A1BF9" w:rsidRDefault="004A1BF9" w:rsidP="004A1BF9">
            <w:pPr>
              <w:ind w:firstLine="0"/>
              <w:jc w:val="center"/>
              <w:rPr>
                <w:b/>
                <w:bCs/>
                <w:sz w:val="18"/>
                <w:szCs w:val="18"/>
                <w:u w:val="single"/>
              </w:rPr>
            </w:pPr>
            <w:r>
              <w:rPr>
                <w:b/>
                <w:bCs/>
                <w:sz w:val="18"/>
                <w:szCs w:val="18"/>
                <w:u w:val="single"/>
              </w:rPr>
              <w:t>Ниже среднего</w:t>
            </w:r>
          </w:p>
        </w:tc>
      </w:tr>
      <w:tr w:rsidR="004A1BF9" w:rsidRPr="00BC2132" w:rsidTr="00733E0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0"/>
        </w:trPr>
        <w:tc>
          <w:tcPr>
            <w:tcW w:w="567" w:type="dxa"/>
            <w:tcBorders>
              <w:top w:val="nil"/>
              <w:left w:val="single" w:sz="4" w:space="0" w:color="auto"/>
              <w:bottom w:val="single" w:sz="4" w:space="0" w:color="auto"/>
              <w:right w:val="single" w:sz="4" w:space="0" w:color="auto"/>
            </w:tcBorders>
          </w:tcPr>
          <w:p w:rsidR="004A1BF9" w:rsidRPr="00BC2132" w:rsidRDefault="004A1BF9" w:rsidP="00BC2132">
            <w:pPr>
              <w:ind w:firstLine="0"/>
              <w:jc w:val="center"/>
              <w:rPr>
                <w:bCs/>
                <w:sz w:val="24"/>
                <w:szCs w:val="24"/>
              </w:rPr>
            </w:pPr>
            <w:r w:rsidRPr="00BC2132">
              <w:rPr>
                <w:bCs/>
                <w:sz w:val="24"/>
                <w:szCs w:val="24"/>
              </w:rPr>
              <w:t>5</w:t>
            </w:r>
          </w:p>
        </w:tc>
        <w:tc>
          <w:tcPr>
            <w:tcW w:w="6521" w:type="dxa"/>
            <w:tcBorders>
              <w:top w:val="nil"/>
              <w:left w:val="single" w:sz="4" w:space="0" w:color="auto"/>
              <w:bottom w:val="single" w:sz="4" w:space="0" w:color="auto"/>
              <w:right w:val="single" w:sz="4" w:space="0" w:color="auto"/>
            </w:tcBorders>
            <w:shd w:val="clear" w:color="auto" w:fill="auto"/>
            <w:vAlign w:val="center"/>
            <w:hideMark/>
          </w:tcPr>
          <w:p w:rsidR="004A1BF9" w:rsidRPr="00BC2132" w:rsidRDefault="004A1BF9" w:rsidP="00BC2132">
            <w:pPr>
              <w:ind w:firstLine="0"/>
              <w:jc w:val="left"/>
              <w:rPr>
                <w:bCs/>
                <w:sz w:val="22"/>
              </w:rPr>
            </w:pPr>
            <w:r>
              <w:rPr>
                <w:bCs/>
                <w:sz w:val="22"/>
              </w:rPr>
              <w:t>«</w:t>
            </w:r>
            <w:r w:rsidRPr="00BC2132">
              <w:rPr>
                <w:bCs/>
                <w:sz w:val="22"/>
              </w:rPr>
              <w:t>Развитие культуры и сохранен</w:t>
            </w:r>
            <w:r>
              <w:rPr>
                <w:bCs/>
                <w:sz w:val="22"/>
              </w:rPr>
              <w:t xml:space="preserve">ие культурного наследия региона» </w:t>
            </w:r>
            <w:r w:rsidRPr="00BC2132">
              <w:rPr>
                <w:sz w:val="22"/>
              </w:rPr>
              <w:t>(Министерство культуры МО)</w:t>
            </w:r>
          </w:p>
        </w:tc>
        <w:tc>
          <w:tcPr>
            <w:tcW w:w="1560" w:type="dxa"/>
            <w:tcBorders>
              <w:top w:val="nil"/>
              <w:left w:val="nil"/>
              <w:bottom w:val="single" w:sz="4" w:space="0" w:color="auto"/>
              <w:right w:val="single" w:sz="4" w:space="0" w:color="auto"/>
            </w:tcBorders>
            <w:shd w:val="clear" w:color="auto" w:fill="FFFF00"/>
            <w:vAlign w:val="center"/>
            <w:hideMark/>
          </w:tcPr>
          <w:p w:rsidR="004A1BF9" w:rsidRDefault="00483A92" w:rsidP="004A1BF9">
            <w:pPr>
              <w:ind w:firstLine="0"/>
              <w:jc w:val="center"/>
              <w:rPr>
                <w:b/>
                <w:bCs/>
                <w:sz w:val="18"/>
                <w:szCs w:val="18"/>
                <w:u w:val="single"/>
              </w:rPr>
            </w:pPr>
            <w:r>
              <w:rPr>
                <w:b/>
                <w:bCs/>
                <w:sz w:val="18"/>
                <w:szCs w:val="18"/>
                <w:u w:val="single"/>
              </w:rPr>
              <w:t>95,8%</w:t>
            </w:r>
          </w:p>
        </w:tc>
        <w:tc>
          <w:tcPr>
            <w:tcW w:w="1559" w:type="dxa"/>
            <w:tcBorders>
              <w:top w:val="nil"/>
              <w:left w:val="nil"/>
              <w:bottom w:val="single" w:sz="4" w:space="0" w:color="auto"/>
              <w:right w:val="single" w:sz="4" w:space="0" w:color="auto"/>
            </w:tcBorders>
            <w:shd w:val="clear" w:color="auto" w:fill="E5B8B7" w:themeFill="accent2" w:themeFillTint="66"/>
            <w:vAlign w:val="center"/>
            <w:hideMark/>
          </w:tcPr>
          <w:p w:rsidR="004A1BF9" w:rsidRDefault="004A1BF9" w:rsidP="004A1BF9">
            <w:pPr>
              <w:ind w:firstLine="0"/>
              <w:jc w:val="center"/>
              <w:rPr>
                <w:b/>
                <w:bCs/>
                <w:sz w:val="18"/>
                <w:szCs w:val="18"/>
                <w:u w:val="single"/>
              </w:rPr>
            </w:pPr>
            <w:r>
              <w:rPr>
                <w:b/>
                <w:bCs/>
                <w:sz w:val="18"/>
                <w:szCs w:val="18"/>
                <w:u w:val="single"/>
              </w:rPr>
              <w:t>54,1%</w:t>
            </w:r>
          </w:p>
        </w:tc>
        <w:tc>
          <w:tcPr>
            <w:tcW w:w="1701" w:type="dxa"/>
            <w:tcBorders>
              <w:top w:val="nil"/>
              <w:left w:val="nil"/>
              <w:bottom w:val="single" w:sz="4" w:space="0" w:color="auto"/>
              <w:right w:val="single" w:sz="4" w:space="0" w:color="auto"/>
            </w:tcBorders>
            <w:shd w:val="clear" w:color="auto" w:fill="E5B8B7" w:themeFill="accent2" w:themeFillTint="66"/>
            <w:vAlign w:val="center"/>
            <w:hideMark/>
          </w:tcPr>
          <w:p w:rsidR="004A1BF9" w:rsidRDefault="004A1BF9" w:rsidP="004A1BF9">
            <w:pPr>
              <w:ind w:firstLine="34"/>
              <w:jc w:val="center"/>
              <w:rPr>
                <w:b/>
                <w:bCs/>
                <w:sz w:val="18"/>
                <w:szCs w:val="18"/>
                <w:u w:val="single"/>
              </w:rPr>
            </w:pPr>
            <w:r>
              <w:rPr>
                <w:b/>
                <w:bCs/>
                <w:sz w:val="18"/>
                <w:szCs w:val="18"/>
                <w:u w:val="single"/>
              </w:rPr>
              <w:t>77,34%</w:t>
            </w:r>
          </w:p>
        </w:tc>
        <w:tc>
          <w:tcPr>
            <w:tcW w:w="1984" w:type="dxa"/>
            <w:tcBorders>
              <w:top w:val="nil"/>
              <w:left w:val="nil"/>
              <w:bottom w:val="single" w:sz="4" w:space="0" w:color="auto"/>
              <w:right w:val="single" w:sz="4" w:space="0" w:color="auto"/>
            </w:tcBorders>
            <w:shd w:val="clear" w:color="auto" w:fill="E5B8B7" w:themeFill="accent2" w:themeFillTint="66"/>
            <w:vAlign w:val="center"/>
            <w:hideMark/>
          </w:tcPr>
          <w:p w:rsidR="004A1BF9" w:rsidRDefault="004A1BF9" w:rsidP="004A1BF9">
            <w:pPr>
              <w:ind w:firstLine="0"/>
              <w:jc w:val="center"/>
              <w:rPr>
                <w:b/>
                <w:bCs/>
                <w:sz w:val="18"/>
                <w:szCs w:val="18"/>
                <w:u w:val="single"/>
              </w:rPr>
            </w:pPr>
            <w:r>
              <w:rPr>
                <w:b/>
                <w:bCs/>
                <w:sz w:val="18"/>
                <w:szCs w:val="18"/>
                <w:u w:val="single"/>
              </w:rPr>
              <w:t>73,68%</w:t>
            </w:r>
          </w:p>
        </w:tc>
        <w:tc>
          <w:tcPr>
            <w:tcW w:w="1843" w:type="dxa"/>
            <w:tcBorders>
              <w:top w:val="nil"/>
              <w:left w:val="nil"/>
              <w:bottom w:val="single" w:sz="4" w:space="0" w:color="auto"/>
              <w:right w:val="single" w:sz="4" w:space="0" w:color="auto"/>
            </w:tcBorders>
            <w:shd w:val="clear" w:color="auto" w:fill="E5B8B7" w:themeFill="accent2" w:themeFillTint="66"/>
            <w:vAlign w:val="center"/>
            <w:hideMark/>
          </w:tcPr>
          <w:p w:rsidR="004A1BF9" w:rsidRDefault="004A1BF9" w:rsidP="004A1BF9">
            <w:pPr>
              <w:ind w:firstLine="0"/>
              <w:jc w:val="center"/>
              <w:rPr>
                <w:b/>
                <w:bCs/>
                <w:sz w:val="18"/>
                <w:szCs w:val="18"/>
                <w:u w:val="single"/>
              </w:rPr>
            </w:pPr>
            <w:r>
              <w:rPr>
                <w:b/>
                <w:bCs/>
                <w:sz w:val="18"/>
                <w:szCs w:val="18"/>
                <w:u w:val="single"/>
              </w:rPr>
              <w:t>Низкая</w:t>
            </w:r>
          </w:p>
        </w:tc>
      </w:tr>
      <w:tr w:rsidR="004A1BF9" w:rsidRPr="00BC2132" w:rsidTr="00733E0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0"/>
        </w:trPr>
        <w:tc>
          <w:tcPr>
            <w:tcW w:w="567" w:type="dxa"/>
            <w:tcBorders>
              <w:top w:val="nil"/>
              <w:left w:val="single" w:sz="4" w:space="0" w:color="auto"/>
              <w:bottom w:val="single" w:sz="4" w:space="0" w:color="auto"/>
              <w:right w:val="single" w:sz="4" w:space="0" w:color="auto"/>
            </w:tcBorders>
          </w:tcPr>
          <w:p w:rsidR="004A1BF9" w:rsidRPr="00BC2132" w:rsidRDefault="004A1BF9" w:rsidP="00BC2132">
            <w:pPr>
              <w:ind w:firstLine="0"/>
              <w:jc w:val="center"/>
              <w:rPr>
                <w:bCs/>
                <w:sz w:val="24"/>
                <w:szCs w:val="24"/>
              </w:rPr>
            </w:pPr>
            <w:r w:rsidRPr="00BC2132">
              <w:rPr>
                <w:bCs/>
                <w:sz w:val="24"/>
                <w:szCs w:val="24"/>
              </w:rPr>
              <w:t>6</w:t>
            </w:r>
          </w:p>
        </w:tc>
        <w:tc>
          <w:tcPr>
            <w:tcW w:w="6521" w:type="dxa"/>
            <w:tcBorders>
              <w:top w:val="nil"/>
              <w:left w:val="single" w:sz="4" w:space="0" w:color="auto"/>
              <w:bottom w:val="single" w:sz="4" w:space="0" w:color="auto"/>
              <w:right w:val="single" w:sz="4" w:space="0" w:color="auto"/>
            </w:tcBorders>
            <w:shd w:val="clear" w:color="auto" w:fill="auto"/>
            <w:vAlign w:val="center"/>
            <w:hideMark/>
          </w:tcPr>
          <w:p w:rsidR="004A1BF9" w:rsidRPr="00BC2132" w:rsidRDefault="004A1BF9" w:rsidP="00BC2132">
            <w:pPr>
              <w:ind w:firstLine="0"/>
              <w:jc w:val="left"/>
              <w:rPr>
                <w:bCs/>
                <w:sz w:val="22"/>
              </w:rPr>
            </w:pPr>
            <w:r>
              <w:rPr>
                <w:bCs/>
                <w:sz w:val="22"/>
              </w:rPr>
              <w:t>«</w:t>
            </w:r>
            <w:r w:rsidRPr="00BC2132">
              <w:rPr>
                <w:bCs/>
                <w:sz w:val="22"/>
              </w:rPr>
              <w:t>Управление разви</w:t>
            </w:r>
            <w:r>
              <w:rPr>
                <w:bCs/>
                <w:sz w:val="22"/>
              </w:rPr>
              <w:t xml:space="preserve">тием регионального рынка труда» </w:t>
            </w:r>
            <w:r w:rsidRPr="00BC2132">
              <w:rPr>
                <w:sz w:val="22"/>
              </w:rPr>
              <w:t>(Министерство труда и соцразвития МО)</w:t>
            </w:r>
          </w:p>
        </w:tc>
        <w:tc>
          <w:tcPr>
            <w:tcW w:w="1560" w:type="dxa"/>
            <w:tcBorders>
              <w:top w:val="nil"/>
              <w:left w:val="nil"/>
              <w:bottom w:val="single" w:sz="4" w:space="0" w:color="auto"/>
              <w:right w:val="single" w:sz="4" w:space="0" w:color="auto"/>
            </w:tcBorders>
            <w:shd w:val="clear" w:color="auto" w:fill="FFC000"/>
            <w:vAlign w:val="center"/>
            <w:hideMark/>
          </w:tcPr>
          <w:p w:rsidR="004A1BF9" w:rsidRDefault="00483A92" w:rsidP="004A1BF9">
            <w:pPr>
              <w:ind w:firstLine="0"/>
              <w:jc w:val="center"/>
              <w:rPr>
                <w:b/>
                <w:bCs/>
                <w:sz w:val="18"/>
                <w:szCs w:val="18"/>
                <w:u w:val="single"/>
              </w:rPr>
            </w:pPr>
            <w:r>
              <w:rPr>
                <w:b/>
                <w:bCs/>
                <w:sz w:val="18"/>
                <w:szCs w:val="18"/>
                <w:u w:val="single"/>
              </w:rPr>
              <w:t>91,8%</w:t>
            </w:r>
          </w:p>
        </w:tc>
        <w:tc>
          <w:tcPr>
            <w:tcW w:w="1559" w:type="dxa"/>
            <w:tcBorders>
              <w:top w:val="nil"/>
              <w:left w:val="nil"/>
              <w:bottom w:val="single" w:sz="4" w:space="0" w:color="auto"/>
              <w:right w:val="single" w:sz="4" w:space="0" w:color="auto"/>
            </w:tcBorders>
            <w:shd w:val="clear" w:color="000000" w:fill="99FF99"/>
            <w:vAlign w:val="center"/>
            <w:hideMark/>
          </w:tcPr>
          <w:p w:rsidR="004A1BF9" w:rsidRDefault="004A1BF9" w:rsidP="004A1BF9">
            <w:pPr>
              <w:ind w:firstLine="0"/>
              <w:jc w:val="center"/>
              <w:rPr>
                <w:b/>
                <w:bCs/>
                <w:sz w:val="18"/>
                <w:szCs w:val="18"/>
                <w:u w:val="single"/>
              </w:rPr>
            </w:pPr>
            <w:r>
              <w:rPr>
                <w:b/>
                <w:bCs/>
                <w:sz w:val="18"/>
                <w:szCs w:val="18"/>
                <w:u w:val="single"/>
              </w:rPr>
              <w:t>96,2%</w:t>
            </w:r>
          </w:p>
        </w:tc>
        <w:tc>
          <w:tcPr>
            <w:tcW w:w="1701" w:type="dxa"/>
            <w:tcBorders>
              <w:top w:val="nil"/>
              <w:left w:val="nil"/>
              <w:bottom w:val="single" w:sz="4" w:space="0" w:color="auto"/>
              <w:right w:val="single" w:sz="4" w:space="0" w:color="auto"/>
            </w:tcBorders>
            <w:shd w:val="clear" w:color="auto" w:fill="FFC000"/>
            <w:vAlign w:val="center"/>
            <w:hideMark/>
          </w:tcPr>
          <w:p w:rsidR="004A1BF9" w:rsidRDefault="004A1BF9" w:rsidP="004A1BF9">
            <w:pPr>
              <w:ind w:firstLine="34"/>
              <w:jc w:val="center"/>
              <w:rPr>
                <w:b/>
                <w:bCs/>
                <w:sz w:val="18"/>
                <w:szCs w:val="18"/>
                <w:u w:val="single"/>
              </w:rPr>
            </w:pPr>
            <w:r>
              <w:rPr>
                <w:b/>
                <w:bCs/>
                <w:sz w:val="18"/>
                <w:szCs w:val="18"/>
                <w:u w:val="single"/>
              </w:rPr>
              <w:t>88,24%</w:t>
            </w:r>
          </w:p>
        </w:tc>
        <w:tc>
          <w:tcPr>
            <w:tcW w:w="1984" w:type="dxa"/>
            <w:tcBorders>
              <w:top w:val="nil"/>
              <w:left w:val="nil"/>
              <w:bottom w:val="single" w:sz="4" w:space="0" w:color="auto"/>
              <w:right w:val="single" w:sz="4" w:space="0" w:color="auto"/>
            </w:tcBorders>
            <w:shd w:val="clear" w:color="auto" w:fill="FFC000"/>
            <w:vAlign w:val="center"/>
            <w:hideMark/>
          </w:tcPr>
          <w:p w:rsidR="004A1BF9" w:rsidRDefault="004A1BF9" w:rsidP="004A1BF9">
            <w:pPr>
              <w:ind w:firstLine="0"/>
              <w:jc w:val="center"/>
              <w:rPr>
                <w:b/>
                <w:bCs/>
                <w:sz w:val="18"/>
                <w:szCs w:val="18"/>
                <w:u w:val="single"/>
              </w:rPr>
            </w:pPr>
            <w:r>
              <w:rPr>
                <w:b/>
                <w:bCs/>
                <w:sz w:val="18"/>
                <w:szCs w:val="18"/>
                <w:u w:val="single"/>
              </w:rPr>
              <w:t>91,04%</w:t>
            </w:r>
          </w:p>
        </w:tc>
        <w:tc>
          <w:tcPr>
            <w:tcW w:w="1843" w:type="dxa"/>
            <w:tcBorders>
              <w:top w:val="nil"/>
              <w:left w:val="nil"/>
              <w:bottom w:val="single" w:sz="4" w:space="0" w:color="auto"/>
              <w:right w:val="single" w:sz="4" w:space="0" w:color="auto"/>
            </w:tcBorders>
            <w:shd w:val="clear" w:color="auto" w:fill="FFC000"/>
            <w:vAlign w:val="center"/>
            <w:hideMark/>
          </w:tcPr>
          <w:p w:rsidR="004A1BF9" w:rsidRDefault="004A1BF9" w:rsidP="004A1BF9">
            <w:pPr>
              <w:ind w:firstLine="0"/>
              <w:jc w:val="center"/>
              <w:rPr>
                <w:b/>
                <w:bCs/>
                <w:sz w:val="18"/>
                <w:szCs w:val="18"/>
                <w:u w:val="single"/>
              </w:rPr>
            </w:pPr>
            <w:r>
              <w:rPr>
                <w:b/>
                <w:bCs/>
                <w:sz w:val="18"/>
                <w:szCs w:val="18"/>
                <w:u w:val="single"/>
              </w:rPr>
              <w:t>Ниже среднего</w:t>
            </w:r>
          </w:p>
        </w:tc>
      </w:tr>
      <w:tr w:rsidR="004A1BF9" w:rsidRPr="00BC2132" w:rsidTr="00733E0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26"/>
        </w:trPr>
        <w:tc>
          <w:tcPr>
            <w:tcW w:w="567" w:type="dxa"/>
            <w:tcBorders>
              <w:top w:val="nil"/>
              <w:left w:val="single" w:sz="4" w:space="0" w:color="auto"/>
              <w:bottom w:val="single" w:sz="4" w:space="0" w:color="auto"/>
              <w:right w:val="single" w:sz="4" w:space="0" w:color="auto"/>
            </w:tcBorders>
          </w:tcPr>
          <w:p w:rsidR="004A1BF9" w:rsidRPr="00BC2132" w:rsidRDefault="004A1BF9" w:rsidP="00BC2132">
            <w:pPr>
              <w:ind w:firstLine="0"/>
              <w:jc w:val="center"/>
              <w:rPr>
                <w:bCs/>
                <w:sz w:val="24"/>
                <w:szCs w:val="24"/>
              </w:rPr>
            </w:pPr>
            <w:r w:rsidRPr="00BC2132">
              <w:rPr>
                <w:bCs/>
                <w:sz w:val="24"/>
                <w:szCs w:val="24"/>
              </w:rPr>
              <w:t>7</w:t>
            </w:r>
          </w:p>
        </w:tc>
        <w:tc>
          <w:tcPr>
            <w:tcW w:w="6521" w:type="dxa"/>
            <w:tcBorders>
              <w:top w:val="nil"/>
              <w:left w:val="single" w:sz="4" w:space="0" w:color="auto"/>
              <w:bottom w:val="single" w:sz="4" w:space="0" w:color="auto"/>
              <w:right w:val="single" w:sz="4" w:space="0" w:color="auto"/>
            </w:tcBorders>
            <w:shd w:val="clear" w:color="auto" w:fill="auto"/>
            <w:vAlign w:val="center"/>
            <w:hideMark/>
          </w:tcPr>
          <w:p w:rsidR="004A1BF9" w:rsidRPr="00BC2132" w:rsidRDefault="004A1BF9" w:rsidP="00501EE5">
            <w:pPr>
              <w:ind w:firstLine="0"/>
              <w:jc w:val="left"/>
              <w:rPr>
                <w:bCs/>
                <w:sz w:val="22"/>
              </w:rPr>
            </w:pPr>
            <w:r>
              <w:rPr>
                <w:bCs/>
                <w:sz w:val="22"/>
              </w:rPr>
              <w:t>«</w:t>
            </w:r>
            <w:r w:rsidRPr="00BC2132">
              <w:rPr>
                <w:bCs/>
                <w:sz w:val="22"/>
              </w:rPr>
              <w:t>Обеспечение комфортной среды проживания населения региона</w:t>
            </w:r>
            <w:r>
              <w:rPr>
                <w:bCs/>
                <w:sz w:val="22"/>
              </w:rPr>
              <w:t>»</w:t>
            </w:r>
            <w:r w:rsidRPr="00BC2132">
              <w:rPr>
                <w:sz w:val="22"/>
              </w:rPr>
              <w:t>(Минстрой МО)</w:t>
            </w:r>
          </w:p>
        </w:tc>
        <w:tc>
          <w:tcPr>
            <w:tcW w:w="1560" w:type="dxa"/>
            <w:tcBorders>
              <w:top w:val="nil"/>
              <w:left w:val="nil"/>
              <w:bottom w:val="single" w:sz="4" w:space="0" w:color="auto"/>
              <w:right w:val="single" w:sz="4" w:space="0" w:color="auto"/>
            </w:tcBorders>
            <w:shd w:val="clear" w:color="000000" w:fill="FFC000"/>
            <w:vAlign w:val="center"/>
            <w:hideMark/>
          </w:tcPr>
          <w:p w:rsidR="004A1BF9" w:rsidRDefault="00483A92" w:rsidP="004A1BF9">
            <w:pPr>
              <w:ind w:firstLine="0"/>
              <w:jc w:val="center"/>
              <w:rPr>
                <w:b/>
                <w:bCs/>
                <w:sz w:val="18"/>
                <w:szCs w:val="18"/>
                <w:u w:val="single"/>
              </w:rPr>
            </w:pPr>
            <w:r>
              <w:rPr>
                <w:b/>
                <w:bCs/>
                <w:sz w:val="18"/>
                <w:szCs w:val="18"/>
                <w:u w:val="single"/>
              </w:rPr>
              <w:t>86,9%</w:t>
            </w:r>
          </w:p>
        </w:tc>
        <w:tc>
          <w:tcPr>
            <w:tcW w:w="1559" w:type="dxa"/>
            <w:tcBorders>
              <w:top w:val="nil"/>
              <w:left w:val="nil"/>
              <w:bottom w:val="single" w:sz="4" w:space="0" w:color="auto"/>
              <w:right w:val="single" w:sz="4" w:space="0" w:color="auto"/>
            </w:tcBorders>
            <w:shd w:val="clear" w:color="auto" w:fill="E5B8B7" w:themeFill="accent2" w:themeFillTint="66"/>
            <w:vAlign w:val="center"/>
            <w:hideMark/>
          </w:tcPr>
          <w:p w:rsidR="004A1BF9" w:rsidRDefault="004A1BF9" w:rsidP="004A1BF9">
            <w:pPr>
              <w:ind w:firstLine="0"/>
              <w:jc w:val="center"/>
              <w:rPr>
                <w:b/>
                <w:bCs/>
                <w:sz w:val="18"/>
                <w:szCs w:val="18"/>
                <w:u w:val="single"/>
              </w:rPr>
            </w:pPr>
            <w:r>
              <w:rPr>
                <w:b/>
                <w:bCs/>
                <w:sz w:val="18"/>
                <w:szCs w:val="18"/>
                <w:u w:val="single"/>
              </w:rPr>
              <w:t>84,3%</w:t>
            </w:r>
          </w:p>
        </w:tc>
        <w:tc>
          <w:tcPr>
            <w:tcW w:w="1701" w:type="dxa"/>
            <w:tcBorders>
              <w:top w:val="nil"/>
              <w:left w:val="nil"/>
              <w:bottom w:val="single" w:sz="4" w:space="0" w:color="auto"/>
              <w:right w:val="single" w:sz="4" w:space="0" w:color="auto"/>
            </w:tcBorders>
            <w:shd w:val="clear" w:color="auto" w:fill="E5B8B7" w:themeFill="accent2" w:themeFillTint="66"/>
            <w:vAlign w:val="center"/>
            <w:hideMark/>
          </w:tcPr>
          <w:p w:rsidR="004A1BF9" w:rsidRDefault="004A1BF9" w:rsidP="004A1BF9">
            <w:pPr>
              <w:ind w:firstLine="34"/>
              <w:jc w:val="center"/>
              <w:rPr>
                <w:b/>
                <w:bCs/>
                <w:sz w:val="18"/>
                <w:szCs w:val="18"/>
                <w:u w:val="single"/>
              </w:rPr>
            </w:pPr>
            <w:r>
              <w:rPr>
                <w:b/>
                <w:bCs/>
                <w:sz w:val="18"/>
                <w:szCs w:val="18"/>
                <w:u w:val="single"/>
              </w:rPr>
              <w:t>69,1%</w:t>
            </w:r>
          </w:p>
        </w:tc>
        <w:tc>
          <w:tcPr>
            <w:tcW w:w="1984" w:type="dxa"/>
            <w:tcBorders>
              <w:top w:val="nil"/>
              <w:left w:val="nil"/>
              <w:bottom w:val="single" w:sz="4" w:space="0" w:color="auto"/>
              <w:right w:val="single" w:sz="4" w:space="0" w:color="auto"/>
            </w:tcBorders>
            <w:shd w:val="clear" w:color="auto" w:fill="E5B8B7" w:themeFill="accent2" w:themeFillTint="66"/>
            <w:vAlign w:val="center"/>
            <w:hideMark/>
          </w:tcPr>
          <w:p w:rsidR="004A1BF9" w:rsidRDefault="004A1BF9" w:rsidP="004A1BF9">
            <w:pPr>
              <w:ind w:firstLine="0"/>
              <w:jc w:val="center"/>
              <w:rPr>
                <w:b/>
                <w:bCs/>
                <w:sz w:val="18"/>
                <w:szCs w:val="18"/>
                <w:u w:val="single"/>
              </w:rPr>
            </w:pPr>
            <w:r>
              <w:rPr>
                <w:b/>
                <w:bCs/>
                <w:sz w:val="18"/>
                <w:szCs w:val="18"/>
                <w:u w:val="single"/>
              </w:rPr>
              <w:t>78,70%</w:t>
            </w:r>
          </w:p>
        </w:tc>
        <w:tc>
          <w:tcPr>
            <w:tcW w:w="1843" w:type="dxa"/>
            <w:tcBorders>
              <w:top w:val="nil"/>
              <w:left w:val="nil"/>
              <w:bottom w:val="single" w:sz="4" w:space="0" w:color="auto"/>
              <w:right w:val="single" w:sz="4" w:space="0" w:color="auto"/>
            </w:tcBorders>
            <w:shd w:val="clear" w:color="auto" w:fill="E5B8B7" w:themeFill="accent2" w:themeFillTint="66"/>
            <w:vAlign w:val="center"/>
            <w:hideMark/>
          </w:tcPr>
          <w:p w:rsidR="004A1BF9" w:rsidRDefault="004A1BF9" w:rsidP="004A1BF9">
            <w:pPr>
              <w:ind w:firstLine="0"/>
              <w:jc w:val="center"/>
              <w:rPr>
                <w:b/>
                <w:bCs/>
                <w:sz w:val="18"/>
                <w:szCs w:val="18"/>
                <w:u w:val="single"/>
              </w:rPr>
            </w:pPr>
            <w:r>
              <w:rPr>
                <w:b/>
                <w:bCs/>
                <w:sz w:val="18"/>
                <w:szCs w:val="18"/>
                <w:u w:val="single"/>
              </w:rPr>
              <w:t>Низкая</w:t>
            </w:r>
          </w:p>
        </w:tc>
      </w:tr>
      <w:tr w:rsidR="004A1BF9" w:rsidRPr="00BC2132" w:rsidTr="00733E0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0"/>
        </w:trPr>
        <w:tc>
          <w:tcPr>
            <w:tcW w:w="567" w:type="dxa"/>
            <w:tcBorders>
              <w:top w:val="nil"/>
              <w:left w:val="single" w:sz="4" w:space="0" w:color="auto"/>
              <w:bottom w:val="single" w:sz="4" w:space="0" w:color="auto"/>
              <w:right w:val="single" w:sz="4" w:space="0" w:color="auto"/>
            </w:tcBorders>
          </w:tcPr>
          <w:p w:rsidR="004A1BF9" w:rsidRPr="00BC2132" w:rsidRDefault="004A1BF9" w:rsidP="00BC2132">
            <w:pPr>
              <w:ind w:firstLine="0"/>
              <w:jc w:val="center"/>
              <w:rPr>
                <w:bCs/>
                <w:sz w:val="24"/>
                <w:szCs w:val="24"/>
              </w:rPr>
            </w:pPr>
            <w:r w:rsidRPr="00BC2132">
              <w:rPr>
                <w:bCs/>
                <w:sz w:val="24"/>
                <w:szCs w:val="24"/>
              </w:rPr>
              <w:t>8</w:t>
            </w:r>
          </w:p>
        </w:tc>
        <w:tc>
          <w:tcPr>
            <w:tcW w:w="6521" w:type="dxa"/>
            <w:tcBorders>
              <w:top w:val="nil"/>
              <w:left w:val="single" w:sz="4" w:space="0" w:color="auto"/>
              <w:bottom w:val="single" w:sz="4" w:space="0" w:color="auto"/>
              <w:right w:val="single" w:sz="4" w:space="0" w:color="auto"/>
            </w:tcBorders>
            <w:shd w:val="clear" w:color="auto" w:fill="auto"/>
            <w:vAlign w:val="center"/>
            <w:hideMark/>
          </w:tcPr>
          <w:p w:rsidR="004A1BF9" w:rsidRPr="00BC2132" w:rsidRDefault="004A1BF9" w:rsidP="00501EE5">
            <w:pPr>
              <w:ind w:firstLine="0"/>
              <w:jc w:val="left"/>
              <w:rPr>
                <w:bCs/>
                <w:sz w:val="22"/>
              </w:rPr>
            </w:pPr>
            <w:r>
              <w:rPr>
                <w:bCs/>
                <w:sz w:val="22"/>
              </w:rPr>
              <w:t>«</w:t>
            </w:r>
            <w:r w:rsidRPr="00BC2132">
              <w:rPr>
                <w:bCs/>
                <w:sz w:val="22"/>
              </w:rPr>
              <w:t>Формирование современной городской среды Мурманской области</w:t>
            </w:r>
            <w:r>
              <w:rPr>
                <w:bCs/>
                <w:sz w:val="22"/>
              </w:rPr>
              <w:t>»</w:t>
            </w:r>
            <w:r w:rsidRPr="00BC2132">
              <w:rPr>
                <w:sz w:val="22"/>
              </w:rPr>
              <w:t xml:space="preserve"> (</w:t>
            </w:r>
            <w:proofErr w:type="spellStart"/>
            <w:r w:rsidRPr="00BC2132">
              <w:rPr>
                <w:sz w:val="22"/>
              </w:rPr>
              <w:t>Минград</w:t>
            </w:r>
            <w:proofErr w:type="spellEnd"/>
            <w:r w:rsidRPr="00BC2132">
              <w:rPr>
                <w:sz w:val="22"/>
              </w:rPr>
              <w:t xml:space="preserve"> МО)</w:t>
            </w:r>
          </w:p>
        </w:tc>
        <w:tc>
          <w:tcPr>
            <w:tcW w:w="1560" w:type="dxa"/>
            <w:tcBorders>
              <w:top w:val="nil"/>
              <w:left w:val="nil"/>
              <w:bottom w:val="single" w:sz="4" w:space="0" w:color="auto"/>
              <w:right w:val="single" w:sz="4" w:space="0" w:color="auto"/>
            </w:tcBorders>
            <w:shd w:val="clear" w:color="auto" w:fill="66FF99"/>
            <w:vAlign w:val="center"/>
            <w:hideMark/>
          </w:tcPr>
          <w:p w:rsidR="004A1BF9" w:rsidRDefault="00483A92" w:rsidP="004A1BF9">
            <w:pPr>
              <w:ind w:firstLine="0"/>
              <w:jc w:val="center"/>
              <w:rPr>
                <w:b/>
                <w:bCs/>
                <w:sz w:val="18"/>
                <w:szCs w:val="18"/>
                <w:u w:val="single"/>
              </w:rPr>
            </w:pPr>
            <w:r>
              <w:rPr>
                <w:b/>
                <w:bCs/>
                <w:sz w:val="18"/>
                <w:szCs w:val="18"/>
                <w:u w:val="single"/>
              </w:rPr>
              <w:t>121,6%</w:t>
            </w:r>
          </w:p>
        </w:tc>
        <w:tc>
          <w:tcPr>
            <w:tcW w:w="1559" w:type="dxa"/>
            <w:tcBorders>
              <w:top w:val="nil"/>
              <w:left w:val="nil"/>
              <w:bottom w:val="single" w:sz="4" w:space="0" w:color="auto"/>
              <w:right w:val="single" w:sz="4" w:space="0" w:color="auto"/>
            </w:tcBorders>
            <w:shd w:val="clear" w:color="000000" w:fill="99FF99"/>
            <w:vAlign w:val="center"/>
            <w:hideMark/>
          </w:tcPr>
          <w:p w:rsidR="004A1BF9" w:rsidRDefault="004A1BF9" w:rsidP="004A1BF9">
            <w:pPr>
              <w:ind w:firstLine="0"/>
              <w:jc w:val="center"/>
              <w:rPr>
                <w:b/>
                <w:bCs/>
                <w:sz w:val="18"/>
                <w:szCs w:val="18"/>
                <w:u w:val="single"/>
              </w:rPr>
            </w:pPr>
            <w:r>
              <w:rPr>
                <w:b/>
                <w:bCs/>
                <w:sz w:val="18"/>
                <w:szCs w:val="18"/>
                <w:u w:val="single"/>
              </w:rPr>
              <w:t>156,2%</w:t>
            </w:r>
          </w:p>
        </w:tc>
        <w:tc>
          <w:tcPr>
            <w:tcW w:w="1701" w:type="dxa"/>
            <w:tcBorders>
              <w:top w:val="nil"/>
              <w:left w:val="nil"/>
              <w:bottom w:val="single" w:sz="4" w:space="0" w:color="auto"/>
              <w:right w:val="single" w:sz="4" w:space="0" w:color="auto"/>
            </w:tcBorders>
            <w:shd w:val="clear" w:color="000000" w:fill="FFC000"/>
            <w:vAlign w:val="center"/>
            <w:hideMark/>
          </w:tcPr>
          <w:p w:rsidR="004A1BF9" w:rsidRDefault="004A1BF9" w:rsidP="004A1BF9">
            <w:pPr>
              <w:ind w:firstLine="34"/>
              <w:jc w:val="center"/>
              <w:rPr>
                <w:b/>
                <w:bCs/>
                <w:sz w:val="18"/>
                <w:szCs w:val="18"/>
                <w:u w:val="single"/>
              </w:rPr>
            </w:pPr>
            <w:r>
              <w:rPr>
                <w:b/>
                <w:bCs/>
                <w:sz w:val="18"/>
                <w:szCs w:val="18"/>
                <w:u w:val="single"/>
              </w:rPr>
              <w:t>90,9%</w:t>
            </w:r>
          </w:p>
        </w:tc>
        <w:tc>
          <w:tcPr>
            <w:tcW w:w="1984" w:type="dxa"/>
            <w:tcBorders>
              <w:top w:val="nil"/>
              <w:left w:val="nil"/>
              <w:bottom w:val="single" w:sz="4" w:space="0" w:color="auto"/>
              <w:right w:val="single" w:sz="4" w:space="0" w:color="auto"/>
            </w:tcBorders>
            <w:shd w:val="clear" w:color="000000" w:fill="99FF99"/>
            <w:vAlign w:val="center"/>
            <w:hideMark/>
          </w:tcPr>
          <w:p w:rsidR="004A1BF9" w:rsidRDefault="004A1BF9" w:rsidP="004A1BF9">
            <w:pPr>
              <w:ind w:firstLine="0"/>
              <w:jc w:val="center"/>
              <w:rPr>
                <w:b/>
                <w:bCs/>
                <w:sz w:val="18"/>
                <w:szCs w:val="18"/>
                <w:u w:val="single"/>
              </w:rPr>
            </w:pPr>
            <w:r>
              <w:rPr>
                <w:b/>
                <w:bCs/>
                <w:sz w:val="18"/>
                <w:szCs w:val="18"/>
                <w:u w:val="single"/>
              </w:rPr>
              <w:t>121,91%</w:t>
            </w:r>
          </w:p>
        </w:tc>
        <w:tc>
          <w:tcPr>
            <w:tcW w:w="1843" w:type="dxa"/>
            <w:tcBorders>
              <w:top w:val="nil"/>
              <w:left w:val="nil"/>
              <w:bottom w:val="single" w:sz="4" w:space="0" w:color="auto"/>
              <w:right w:val="single" w:sz="4" w:space="0" w:color="auto"/>
            </w:tcBorders>
            <w:shd w:val="clear" w:color="000000" w:fill="99FF99"/>
            <w:vAlign w:val="center"/>
            <w:hideMark/>
          </w:tcPr>
          <w:p w:rsidR="004A1BF9" w:rsidRDefault="004A1BF9" w:rsidP="004A1BF9">
            <w:pPr>
              <w:ind w:firstLine="0"/>
              <w:jc w:val="center"/>
              <w:rPr>
                <w:b/>
                <w:bCs/>
                <w:sz w:val="18"/>
                <w:szCs w:val="18"/>
                <w:u w:val="single"/>
              </w:rPr>
            </w:pPr>
            <w:r>
              <w:rPr>
                <w:b/>
                <w:bCs/>
                <w:sz w:val="18"/>
                <w:szCs w:val="18"/>
                <w:u w:val="single"/>
              </w:rPr>
              <w:t>Высокая</w:t>
            </w:r>
          </w:p>
        </w:tc>
      </w:tr>
      <w:tr w:rsidR="004A1BF9" w:rsidRPr="00BC2132" w:rsidTr="00733E0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0"/>
        </w:trPr>
        <w:tc>
          <w:tcPr>
            <w:tcW w:w="567" w:type="dxa"/>
            <w:tcBorders>
              <w:top w:val="nil"/>
              <w:left w:val="single" w:sz="4" w:space="0" w:color="auto"/>
              <w:bottom w:val="single" w:sz="4" w:space="0" w:color="auto"/>
              <w:right w:val="single" w:sz="4" w:space="0" w:color="auto"/>
            </w:tcBorders>
          </w:tcPr>
          <w:p w:rsidR="004A1BF9" w:rsidRPr="00BC2132" w:rsidRDefault="004A1BF9" w:rsidP="00BC2132">
            <w:pPr>
              <w:ind w:firstLine="0"/>
              <w:jc w:val="center"/>
              <w:rPr>
                <w:bCs/>
                <w:sz w:val="24"/>
                <w:szCs w:val="24"/>
              </w:rPr>
            </w:pPr>
            <w:r w:rsidRPr="00BC2132">
              <w:rPr>
                <w:bCs/>
                <w:sz w:val="24"/>
                <w:szCs w:val="24"/>
              </w:rPr>
              <w:t>9</w:t>
            </w:r>
          </w:p>
        </w:tc>
        <w:tc>
          <w:tcPr>
            <w:tcW w:w="6521" w:type="dxa"/>
            <w:tcBorders>
              <w:top w:val="nil"/>
              <w:left w:val="single" w:sz="4" w:space="0" w:color="auto"/>
              <w:bottom w:val="single" w:sz="4" w:space="0" w:color="auto"/>
              <w:right w:val="single" w:sz="4" w:space="0" w:color="auto"/>
            </w:tcBorders>
            <w:shd w:val="clear" w:color="auto" w:fill="auto"/>
            <w:vAlign w:val="center"/>
            <w:hideMark/>
          </w:tcPr>
          <w:p w:rsidR="004A1BF9" w:rsidRPr="00BC2132" w:rsidRDefault="004A1BF9" w:rsidP="00501EE5">
            <w:pPr>
              <w:ind w:firstLine="0"/>
              <w:jc w:val="left"/>
              <w:rPr>
                <w:bCs/>
                <w:sz w:val="22"/>
              </w:rPr>
            </w:pPr>
            <w:r>
              <w:rPr>
                <w:bCs/>
                <w:sz w:val="22"/>
              </w:rPr>
              <w:t>«</w:t>
            </w:r>
            <w:r w:rsidRPr="00BC2132">
              <w:rPr>
                <w:bCs/>
                <w:sz w:val="22"/>
              </w:rPr>
              <w:t>Обеспечение общественного порядка и безопасности населения региона</w:t>
            </w:r>
            <w:r>
              <w:rPr>
                <w:bCs/>
                <w:sz w:val="22"/>
              </w:rPr>
              <w:t>»</w:t>
            </w:r>
            <w:r w:rsidRPr="00BC2132">
              <w:rPr>
                <w:sz w:val="22"/>
              </w:rPr>
              <w:t xml:space="preserve"> (Комитет по безопасности МО)</w:t>
            </w:r>
          </w:p>
        </w:tc>
        <w:tc>
          <w:tcPr>
            <w:tcW w:w="1560" w:type="dxa"/>
            <w:tcBorders>
              <w:top w:val="nil"/>
              <w:left w:val="nil"/>
              <w:bottom w:val="single" w:sz="4" w:space="0" w:color="auto"/>
              <w:right w:val="single" w:sz="4" w:space="0" w:color="auto"/>
            </w:tcBorders>
            <w:shd w:val="clear" w:color="auto" w:fill="FFC000"/>
            <w:vAlign w:val="center"/>
            <w:hideMark/>
          </w:tcPr>
          <w:p w:rsidR="004A1BF9" w:rsidRDefault="00483A92" w:rsidP="004A1BF9">
            <w:pPr>
              <w:ind w:firstLine="0"/>
              <w:jc w:val="center"/>
              <w:rPr>
                <w:b/>
                <w:bCs/>
                <w:sz w:val="18"/>
                <w:szCs w:val="18"/>
                <w:u w:val="single"/>
              </w:rPr>
            </w:pPr>
            <w:r>
              <w:rPr>
                <w:b/>
                <w:bCs/>
                <w:sz w:val="18"/>
                <w:szCs w:val="18"/>
                <w:u w:val="single"/>
              </w:rPr>
              <w:t>89,3</w:t>
            </w:r>
            <w:r w:rsidR="004A1BF9">
              <w:rPr>
                <w:b/>
                <w:bCs/>
                <w:sz w:val="18"/>
                <w:szCs w:val="18"/>
                <w:u w:val="single"/>
              </w:rPr>
              <w:t>%</w:t>
            </w:r>
          </w:p>
        </w:tc>
        <w:tc>
          <w:tcPr>
            <w:tcW w:w="1559" w:type="dxa"/>
            <w:tcBorders>
              <w:top w:val="nil"/>
              <w:left w:val="nil"/>
              <w:bottom w:val="single" w:sz="4" w:space="0" w:color="auto"/>
              <w:right w:val="single" w:sz="4" w:space="0" w:color="auto"/>
            </w:tcBorders>
            <w:shd w:val="clear" w:color="auto" w:fill="FFFF00"/>
            <w:vAlign w:val="center"/>
            <w:hideMark/>
          </w:tcPr>
          <w:p w:rsidR="004A1BF9" w:rsidRDefault="004A1BF9" w:rsidP="004A1BF9">
            <w:pPr>
              <w:ind w:firstLine="0"/>
              <w:jc w:val="center"/>
              <w:rPr>
                <w:b/>
                <w:bCs/>
                <w:sz w:val="18"/>
                <w:szCs w:val="18"/>
                <w:u w:val="single"/>
              </w:rPr>
            </w:pPr>
            <w:r>
              <w:rPr>
                <w:b/>
                <w:bCs/>
                <w:sz w:val="18"/>
                <w:szCs w:val="18"/>
                <w:u w:val="single"/>
              </w:rPr>
              <w:t>94,8%</w:t>
            </w:r>
          </w:p>
        </w:tc>
        <w:tc>
          <w:tcPr>
            <w:tcW w:w="1701" w:type="dxa"/>
            <w:tcBorders>
              <w:top w:val="nil"/>
              <w:left w:val="nil"/>
              <w:bottom w:val="single" w:sz="4" w:space="0" w:color="auto"/>
              <w:right w:val="single" w:sz="4" w:space="0" w:color="auto"/>
            </w:tcBorders>
            <w:shd w:val="clear" w:color="000000" w:fill="E6B9B8"/>
            <w:vAlign w:val="center"/>
            <w:hideMark/>
          </w:tcPr>
          <w:p w:rsidR="004A1BF9" w:rsidRDefault="004A1BF9" w:rsidP="004A1BF9">
            <w:pPr>
              <w:ind w:firstLine="34"/>
              <w:jc w:val="center"/>
              <w:rPr>
                <w:b/>
                <w:bCs/>
                <w:sz w:val="18"/>
                <w:szCs w:val="18"/>
                <w:u w:val="single"/>
              </w:rPr>
            </w:pPr>
            <w:r>
              <w:rPr>
                <w:b/>
                <w:bCs/>
                <w:sz w:val="18"/>
                <w:szCs w:val="18"/>
                <w:u w:val="single"/>
              </w:rPr>
              <w:t>81,3%</w:t>
            </w:r>
          </w:p>
        </w:tc>
        <w:tc>
          <w:tcPr>
            <w:tcW w:w="1984" w:type="dxa"/>
            <w:tcBorders>
              <w:top w:val="nil"/>
              <w:left w:val="nil"/>
              <w:bottom w:val="single" w:sz="4" w:space="0" w:color="auto"/>
              <w:right w:val="single" w:sz="4" w:space="0" w:color="auto"/>
            </w:tcBorders>
            <w:shd w:val="clear" w:color="auto" w:fill="FFC000"/>
            <w:vAlign w:val="center"/>
            <w:hideMark/>
          </w:tcPr>
          <w:p w:rsidR="004A1BF9" w:rsidRDefault="004A1BF9" w:rsidP="004A1BF9">
            <w:pPr>
              <w:ind w:firstLine="0"/>
              <w:jc w:val="center"/>
              <w:rPr>
                <w:b/>
                <w:bCs/>
                <w:sz w:val="18"/>
                <w:szCs w:val="18"/>
                <w:u w:val="single"/>
              </w:rPr>
            </w:pPr>
            <w:r>
              <w:rPr>
                <w:b/>
                <w:bCs/>
                <w:sz w:val="18"/>
                <w:szCs w:val="18"/>
                <w:u w:val="single"/>
              </w:rPr>
              <w:t>87,36%</w:t>
            </w:r>
          </w:p>
        </w:tc>
        <w:tc>
          <w:tcPr>
            <w:tcW w:w="1843" w:type="dxa"/>
            <w:tcBorders>
              <w:top w:val="nil"/>
              <w:left w:val="nil"/>
              <w:bottom w:val="single" w:sz="4" w:space="0" w:color="auto"/>
              <w:right w:val="single" w:sz="4" w:space="0" w:color="auto"/>
            </w:tcBorders>
            <w:shd w:val="clear" w:color="auto" w:fill="FFC000"/>
            <w:vAlign w:val="center"/>
            <w:hideMark/>
          </w:tcPr>
          <w:p w:rsidR="004A1BF9" w:rsidRDefault="004A1BF9" w:rsidP="004A1BF9">
            <w:pPr>
              <w:ind w:firstLine="0"/>
              <w:jc w:val="center"/>
              <w:rPr>
                <w:b/>
                <w:bCs/>
                <w:sz w:val="18"/>
                <w:szCs w:val="18"/>
                <w:u w:val="single"/>
              </w:rPr>
            </w:pPr>
            <w:r>
              <w:rPr>
                <w:b/>
                <w:bCs/>
                <w:sz w:val="18"/>
                <w:szCs w:val="18"/>
                <w:u w:val="single"/>
              </w:rPr>
              <w:t>Ниже среднего</w:t>
            </w:r>
          </w:p>
        </w:tc>
      </w:tr>
      <w:tr w:rsidR="004A1BF9" w:rsidRPr="00BC2132" w:rsidTr="00733E0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0"/>
        </w:trPr>
        <w:tc>
          <w:tcPr>
            <w:tcW w:w="567" w:type="dxa"/>
            <w:tcBorders>
              <w:top w:val="nil"/>
              <w:left w:val="single" w:sz="4" w:space="0" w:color="auto"/>
              <w:bottom w:val="single" w:sz="4" w:space="0" w:color="auto"/>
              <w:right w:val="single" w:sz="4" w:space="0" w:color="auto"/>
            </w:tcBorders>
          </w:tcPr>
          <w:p w:rsidR="004A1BF9" w:rsidRPr="00BC2132" w:rsidRDefault="004A1BF9" w:rsidP="00BC2132">
            <w:pPr>
              <w:ind w:firstLine="0"/>
              <w:jc w:val="center"/>
              <w:rPr>
                <w:bCs/>
                <w:sz w:val="24"/>
                <w:szCs w:val="24"/>
              </w:rPr>
            </w:pPr>
            <w:r w:rsidRPr="00BC2132">
              <w:rPr>
                <w:bCs/>
                <w:sz w:val="24"/>
                <w:szCs w:val="24"/>
              </w:rPr>
              <w:t>10</w:t>
            </w:r>
          </w:p>
        </w:tc>
        <w:tc>
          <w:tcPr>
            <w:tcW w:w="6521" w:type="dxa"/>
            <w:tcBorders>
              <w:top w:val="nil"/>
              <w:left w:val="single" w:sz="4" w:space="0" w:color="auto"/>
              <w:bottom w:val="single" w:sz="4" w:space="0" w:color="auto"/>
              <w:right w:val="single" w:sz="4" w:space="0" w:color="auto"/>
            </w:tcBorders>
            <w:shd w:val="clear" w:color="auto" w:fill="auto"/>
            <w:vAlign w:val="center"/>
            <w:hideMark/>
          </w:tcPr>
          <w:p w:rsidR="004A1BF9" w:rsidRPr="00BC2132" w:rsidRDefault="004A1BF9" w:rsidP="00BC2132">
            <w:pPr>
              <w:ind w:firstLine="0"/>
              <w:jc w:val="left"/>
              <w:rPr>
                <w:bCs/>
                <w:sz w:val="22"/>
              </w:rPr>
            </w:pPr>
            <w:r>
              <w:rPr>
                <w:bCs/>
                <w:sz w:val="22"/>
              </w:rPr>
              <w:t>«</w:t>
            </w:r>
            <w:r w:rsidRPr="00BC2132">
              <w:rPr>
                <w:bCs/>
                <w:sz w:val="22"/>
              </w:rPr>
              <w:t>Охрана окружающей среды и вос</w:t>
            </w:r>
            <w:r>
              <w:rPr>
                <w:bCs/>
                <w:sz w:val="22"/>
              </w:rPr>
              <w:t>производство природных ресурсов»</w:t>
            </w:r>
            <w:r w:rsidRPr="00BC2132">
              <w:rPr>
                <w:sz w:val="22"/>
              </w:rPr>
              <w:t xml:space="preserve"> (Минприроды МО)</w:t>
            </w:r>
          </w:p>
        </w:tc>
        <w:tc>
          <w:tcPr>
            <w:tcW w:w="1560" w:type="dxa"/>
            <w:tcBorders>
              <w:top w:val="nil"/>
              <w:left w:val="nil"/>
              <w:bottom w:val="single" w:sz="4" w:space="0" w:color="auto"/>
              <w:right w:val="single" w:sz="4" w:space="0" w:color="auto"/>
            </w:tcBorders>
            <w:shd w:val="clear" w:color="auto" w:fill="FFC000"/>
            <w:vAlign w:val="center"/>
            <w:hideMark/>
          </w:tcPr>
          <w:p w:rsidR="004A1BF9" w:rsidRDefault="00483A92" w:rsidP="004A1BF9">
            <w:pPr>
              <w:ind w:firstLine="0"/>
              <w:jc w:val="center"/>
              <w:rPr>
                <w:b/>
                <w:bCs/>
                <w:sz w:val="18"/>
                <w:szCs w:val="18"/>
                <w:u w:val="single"/>
              </w:rPr>
            </w:pPr>
            <w:r>
              <w:rPr>
                <w:b/>
                <w:bCs/>
                <w:sz w:val="18"/>
                <w:szCs w:val="18"/>
                <w:u w:val="single"/>
              </w:rPr>
              <w:t>89,6</w:t>
            </w:r>
            <w:r w:rsidR="004A1BF9">
              <w:rPr>
                <w:b/>
                <w:bCs/>
                <w:sz w:val="18"/>
                <w:szCs w:val="18"/>
                <w:u w:val="single"/>
              </w:rPr>
              <w:t>%</w:t>
            </w:r>
          </w:p>
        </w:tc>
        <w:tc>
          <w:tcPr>
            <w:tcW w:w="1559" w:type="dxa"/>
            <w:tcBorders>
              <w:top w:val="nil"/>
              <w:left w:val="nil"/>
              <w:bottom w:val="single" w:sz="4" w:space="0" w:color="auto"/>
              <w:right w:val="single" w:sz="4" w:space="0" w:color="auto"/>
            </w:tcBorders>
            <w:shd w:val="clear" w:color="000000" w:fill="99FF99"/>
            <w:vAlign w:val="center"/>
            <w:hideMark/>
          </w:tcPr>
          <w:p w:rsidR="004A1BF9" w:rsidRDefault="004A1BF9" w:rsidP="004A1BF9">
            <w:pPr>
              <w:ind w:firstLine="0"/>
              <w:jc w:val="center"/>
              <w:rPr>
                <w:b/>
                <w:bCs/>
                <w:sz w:val="18"/>
                <w:szCs w:val="18"/>
                <w:u w:val="single"/>
              </w:rPr>
            </w:pPr>
            <w:r>
              <w:rPr>
                <w:b/>
                <w:bCs/>
                <w:sz w:val="18"/>
                <w:szCs w:val="18"/>
                <w:u w:val="single"/>
              </w:rPr>
              <w:t>106,9%</w:t>
            </w:r>
          </w:p>
        </w:tc>
        <w:tc>
          <w:tcPr>
            <w:tcW w:w="1701" w:type="dxa"/>
            <w:tcBorders>
              <w:top w:val="nil"/>
              <w:left w:val="nil"/>
              <w:bottom w:val="single" w:sz="4" w:space="0" w:color="auto"/>
              <w:right w:val="single" w:sz="4" w:space="0" w:color="auto"/>
            </w:tcBorders>
            <w:shd w:val="clear" w:color="000000" w:fill="E6B9B8"/>
            <w:vAlign w:val="center"/>
            <w:hideMark/>
          </w:tcPr>
          <w:p w:rsidR="004A1BF9" w:rsidRDefault="004A1BF9" w:rsidP="004A1BF9">
            <w:pPr>
              <w:ind w:firstLine="34"/>
              <w:jc w:val="center"/>
              <w:rPr>
                <w:b/>
                <w:bCs/>
                <w:sz w:val="18"/>
                <w:szCs w:val="18"/>
                <w:u w:val="single"/>
              </w:rPr>
            </w:pPr>
            <w:r>
              <w:rPr>
                <w:b/>
                <w:bCs/>
                <w:sz w:val="18"/>
                <w:szCs w:val="18"/>
                <w:u w:val="single"/>
              </w:rPr>
              <w:t>70,3%</w:t>
            </w:r>
          </w:p>
        </w:tc>
        <w:tc>
          <w:tcPr>
            <w:tcW w:w="1984" w:type="dxa"/>
            <w:tcBorders>
              <w:top w:val="nil"/>
              <w:left w:val="nil"/>
              <w:bottom w:val="single" w:sz="4" w:space="0" w:color="auto"/>
              <w:right w:val="single" w:sz="4" w:space="0" w:color="auto"/>
            </w:tcBorders>
            <w:shd w:val="clear" w:color="000000" w:fill="FFC000"/>
            <w:vAlign w:val="center"/>
            <w:hideMark/>
          </w:tcPr>
          <w:p w:rsidR="004A1BF9" w:rsidRDefault="004A1BF9" w:rsidP="004A1BF9">
            <w:pPr>
              <w:ind w:firstLine="0"/>
              <w:jc w:val="center"/>
              <w:rPr>
                <w:b/>
                <w:bCs/>
                <w:sz w:val="18"/>
                <w:szCs w:val="18"/>
                <w:u w:val="single"/>
              </w:rPr>
            </w:pPr>
            <w:r>
              <w:rPr>
                <w:b/>
                <w:bCs/>
                <w:sz w:val="18"/>
                <w:szCs w:val="18"/>
                <w:u w:val="single"/>
              </w:rPr>
              <w:t>87,86%</w:t>
            </w:r>
          </w:p>
        </w:tc>
        <w:tc>
          <w:tcPr>
            <w:tcW w:w="1843" w:type="dxa"/>
            <w:tcBorders>
              <w:top w:val="nil"/>
              <w:left w:val="nil"/>
              <w:bottom w:val="single" w:sz="4" w:space="0" w:color="auto"/>
              <w:right w:val="single" w:sz="4" w:space="0" w:color="auto"/>
            </w:tcBorders>
            <w:shd w:val="clear" w:color="000000" w:fill="FFC000"/>
            <w:vAlign w:val="center"/>
            <w:hideMark/>
          </w:tcPr>
          <w:p w:rsidR="004A1BF9" w:rsidRDefault="004A1BF9" w:rsidP="004A1BF9">
            <w:pPr>
              <w:ind w:firstLine="0"/>
              <w:jc w:val="center"/>
              <w:rPr>
                <w:b/>
                <w:bCs/>
                <w:sz w:val="18"/>
                <w:szCs w:val="18"/>
                <w:u w:val="single"/>
              </w:rPr>
            </w:pPr>
            <w:r>
              <w:rPr>
                <w:b/>
                <w:bCs/>
                <w:sz w:val="18"/>
                <w:szCs w:val="18"/>
                <w:u w:val="single"/>
              </w:rPr>
              <w:t>Ниже среднего</w:t>
            </w:r>
          </w:p>
        </w:tc>
      </w:tr>
      <w:tr w:rsidR="004A1BF9" w:rsidRPr="00BC2132" w:rsidTr="00733E0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38"/>
        </w:trPr>
        <w:tc>
          <w:tcPr>
            <w:tcW w:w="567" w:type="dxa"/>
            <w:tcBorders>
              <w:top w:val="nil"/>
              <w:left w:val="single" w:sz="4" w:space="0" w:color="auto"/>
              <w:bottom w:val="single" w:sz="4" w:space="0" w:color="auto"/>
              <w:right w:val="single" w:sz="4" w:space="0" w:color="auto"/>
            </w:tcBorders>
          </w:tcPr>
          <w:p w:rsidR="004A1BF9" w:rsidRPr="00BC2132" w:rsidRDefault="004A1BF9" w:rsidP="00BC2132">
            <w:pPr>
              <w:ind w:firstLine="0"/>
              <w:jc w:val="center"/>
              <w:rPr>
                <w:bCs/>
                <w:sz w:val="24"/>
                <w:szCs w:val="24"/>
              </w:rPr>
            </w:pPr>
            <w:r w:rsidRPr="00BC2132">
              <w:rPr>
                <w:bCs/>
                <w:sz w:val="24"/>
                <w:szCs w:val="24"/>
              </w:rPr>
              <w:t>11</w:t>
            </w:r>
          </w:p>
        </w:tc>
        <w:tc>
          <w:tcPr>
            <w:tcW w:w="6521" w:type="dxa"/>
            <w:tcBorders>
              <w:top w:val="nil"/>
              <w:left w:val="single" w:sz="4" w:space="0" w:color="auto"/>
              <w:bottom w:val="single" w:sz="4" w:space="0" w:color="auto"/>
              <w:right w:val="single" w:sz="4" w:space="0" w:color="auto"/>
            </w:tcBorders>
            <w:shd w:val="clear" w:color="auto" w:fill="auto"/>
            <w:vAlign w:val="center"/>
            <w:hideMark/>
          </w:tcPr>
          <w:p w:rsidR="004A1BF9" w:rsidRPr="00BC2132" w:rsidRDefault="004A1BF9" w:rsidP="00501EE5">
            <w:pPr>
              <w:ind w:firstLine="0"/>
              <w:jc w:val="left"/>
              <w:rPr>
                <w:bCs/>
                <w:sz w:val="22"/>
              </w:rPr>
            </w:pPr>
            <w:r>
              <w:rPr>
                <w:bCs/>
                <w:sz w:val="22"/>
              </w:rPr>
              <w:t>«</w:t>
            </w:r>
            <w:r w:rsidRPr="00BC2132">
              <w:rPr>
                <w:bCs/>
                <w:sz w:val="22"/>
              </w:rPr>
              <w:t>Развитие рыбного и сельского хозяйства, регулирование рынков сельскохозяйственной продукции, сырья и продовольствия</w:t>
            </w:r>
            <w:r>
              <w:rPr>
                <w:bCs/>
                <w:sz w:val="22"/>
              </w:rPr>
              <w:t>»</w:t>
            </w:r>
            <w:r w:rsidRPr="00BC2132">
              <w:rPr>
                <w:sz w:val="22"/>
              </w:rPr>
              <w:t>(</w:t>
            </w:r>
            <w:proofErr w:type="spellStart"/>
            <w:r w:rsidRPr="00BC2132">
              <w:rPr>
                <w:sz w:val="22"/>
              </w:rPr>
              <w:t>Мининвест</w:t>
            </w:r>
            <w:proofErr w:type="spellEnd"/>
            <w:r w:rsidRPr="00BC2132">
              <w:rPr>
                <w:sz w:val="22"/>
              </w:rPr>
              <w:t xml:space="preserve"> МО)</w:t>
            </w:r>
          </w:p>
        </w:tc>
        <w:tc>
          <w:tcPr>
            <w:tcW w:w="1560" w:type="dxa"/>
            <w:tcBorders>
              <w:top w:val="nil"/>
              <w:left w:val="nil"/>
              <w:bottom w:val="single" w:sz="4" w:space="0" w:color="auto"/>
              <w:right w:val="single" w:sz="4" w:space="0" w:color="auto"/>
            </w:tcBorders>
            <w:shd w:val="clear" w:color="auto" w:fill="66FF99"/>
            <w:vAlign w:val="center"/>
            <w:hideMark/>
          </w:tcPr>
          <w:p w:rsidR="004A1BF9" w:rsidRDefault="00483A92" w:rsidP="004A1BF9">
            <w:pPr>
              <w:ind w:firstLine="0"/>
              <w:jc w:val="center"/>
              <w:rPr>
                <w:b/>
                <w:bCs/>
                <w:sz w:val="18"/>
                <w:szCs w:val="18"/>
                <w:u w:val="single"/>
              </w:rPr>
            </w:pPr>
            <w:r>
              <w:rPr>
                <w:b/>
                <w:bCs/>
                <w:sz w:val="18"/>
                <w:szCs w:val="18"/>
                <w:u w:val="single"/>
              </w:rPr>
              <w:t>97,5</w:t>
            </w:r>
            <w:r w:rsidR="004A1BF9">
              <w:rPr>
                <w:b/>
                <w:bCs/>
                <w:sz w:val="18"/>
                <w:szCs w:val="18"/>
                <w:u w:val="single"/>
              </w:rPr>
              <w:t>%</w:t>
            </w:r>
          </w:p>
        </w:tc>
        <w:tc>
          <w:tcPr>
            <w:tcW w:w="1559" w:type="dxa"/>
            <w:tcBorders>
              <w:top w:val="nil"/>
              <w:left w:val="nil"/>
              <w:bottom w:val="single" w:sz="4" w:space="0" w:color="auto"/>
              <w:right w:val="single" w:sz="4" w:space="0" w:color="auto"/>
            </w:tcBorders>
            <w:shd w:val="clear" w:color="auto" w:fill="66FF99"/>
            <w:vAlign w:val="center"/>
            <w:hideMark/>
          </w:tcPr>
          <w:p w:rsidR="004A1BF9" w:rsidRDefault="004A1BF9" w:rsidP="004A1BF9">
            <w:pPr>
              <w:ind w:firstLine="0"/>
              <w:jc w:val="center"/>
              <w:rPr>
                <w:b/>
                <w:bCs/>
                <w:sz w:val="18"/>
                <w:szCs w:val="18"/>
                <w:u w:val="single"/>
              </w:rPr>
            </w:pPr>
            <w:r>
              <w:rPr>
                <w:b/>
                <w:bCs/>
                <w:sz w:val="18"/>
                <w:szCs w:val="18"/>
                <w:u w:val="single"/>
              </w:rPr>
              <w:t>106,7%</w:t>
            </w:r>
          </w:p>
        </w:tc>
        <w:tc>
          <w:tcPr>
            <w:tcW w:w="1701" w:type="dxa"/>
            <w:tcBorders>
              <w:top w:val="nil"/>
              <w:left w:val="nil"/>
              <w:bottom w:val="single" w:sz="4" w:space="0" w:color="auto"/>
              <w:right w:val="single" w:sz="4" w:space="0" w:color="auto"/>
            </w:tcBorders>
            <w:shd w:val="clear" w:color="000000" w:fill="FFC000"/>
            <w:vAlign w:val="center"/>
            <w:hideMark/>
          </w:tcPr>
          <w:p w:rsidR="004A1BF9" w:rsidRDefault="004A1BF9" w:rsidP="004A1BF9">
            <w:pPr>
              <w:ind w:firstLine="34"/>
              <w:jc w:val="center"/>
              <w:rPr>
                <w:b/>
                <w:bCs/>
                <w:sz w:val="18"/>
                <w:szCs w:val="18"/>
                <w:u w:val="single"/>
              </w:rPr>
            </w:pPr>
            <w:r>
              <w:rPr>
                <w:b/>
                <w:bCs/>
                <w:sz w:val="18"/>
                <w:szCs w:val="18"/>
                <w:u w:val="single"/>
              </w:rPr>
              <w:t>88,8%</w:t>
            </w:r>
          </w:p>
        </w:tc>
        <w:tc>
          <w:tcPr>
            <w:tcW w:w="1984" w:type="dxa"/>
            <w:tcBorders>
              <w:top w:val="nil"/>
              <w:left w:val="nil"/>
              <w:bottom w:val="single" w:sz="4" w:space="0" w:color="auto"/>
              <w:right w:val="single" w:sz="4" w:space="0" w:color="auto"/>
            </w:tcBorders>
            <w:shd w:val="clear" w:color="auto" w:fill="FFFF00"/>
            <w:vAlign w:val="center"/>
            <w:hideMark/>
          </w:tcPr>
          <w:p w:rsidR="004A1BF9" w:rsidRDefault="004A1BF9" w:rsidP="004A1BF9">
            <w:pPr>
              <w:ind w:firstLine="0"/>
              <w:jc w:val="center"/>
              <w:rPr>
                <w:b/>
                <w:bCs/>
                <w:sz w:val="18"/>
                <w:szCs w:val="18"/>
                <w:u w:val="single"/>
              </w:rPr>
            </w:pPr>
            <w:r>
              <w:rPr>
                <w:b/>
                <w:bCs/>
                <w:sz w:val="18"/>
                <w:szCs w:val="18"/>
                <w:u w:val="single"/>
              </w:rPr>
              <w:t>96,6%</w:t>
            </w:r>
          </w:p>
        </w:tc>
        <w:tc>
          <w:tcPr>
            <w:tcW w:w="1843" w:type="dxa"/>
            <w:tcBorders>
              <w:top w:val="nil"/>
              <w:left w:val="nil"/>
              <w:bottom w:val="single" w:sz="4" w:space="0" w:color="auto"/>
              <w:right w:val="single" w:sz="4" w:space="0" w:color="auto"/>
            </w:tcBorders>
            <w:shd w:val="clear" w:color="auto" w:fill="FFFF00"/>
            <w:vAlign w:val="center"/>
            <w:hideMark/>
          </w:tcPr>
          <w:p w:rsidR="004A1BF9" w:rsidRDefault="004A1BF9" w:rsidP="004A1BF9">
            <w:pPr>
              <w:ind w:firstLine="0"/>
              <w:jc w:val="center"/>
              <w:rPr>
                <w:b/>
                <w:bCs/>
                <w:sz w:val="18"/>
                <w:szCs w:val="18"/>
                <w:u w:val="single"/>
              </w:rPr>
            </w:pPr>
            <w:r>
              <w:rPr>
                <w:b/>
                <w:bCs/>
                <w:sz w:val="18"/>
                <w:szCs w:val="18"/>
                <w:u w:val="single"/>
              </w:rPr>
              <w:t>Средняя</w:t>
            </w:r>
          </w:p>
        </w:tc>
      </w:tr>
      <w:tr w:rsidR="004A1BF9" w:rsidRPr="00BC2132" w:rsidTr="00733E0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0"/>
        </w:trPr>
        <w:tc>
          <w:tcPr>
            <w:tcW w:w="567" w:type="dxa"/>
            <w:tcBorders>
              <w:top w:val="nil"/>
              <w:left w:val="single" w:sz="4" w:space="0" w:color="auto"/>
              <w:bottom w:val="single" w:sz="4" w:space="0" w:color="auto"/>
              <w:right w:val="single" w:sz="4" w:space="0" w:color="auto"/>
            </w:tcBorders>
          </w:tcPr>
          <w:p w:rsidR="004A1BF9" w:rsidRPr="00BC2132" w:rsidRDefault="004A1BF9" w:rsidP="00BC2132">
            <w:pPr>
              <w:ind w:firstLine="0"/>
              <w:jc w:val="center"/>
              <w:rPr>
                <w:bCs/>
                <w:sz w:val="24"/>
                <w:szCs w:val="24"/>
              </w:rPr>
            </w:pPr>
            <w:r w:rsidRPr="00BC2132">
              <w:rPr>
                <w:bCs/>
                <w:sz w:val="24"/>
                <w:szCs w:val="24"/>
              </w:rPr>
              <w:t>12</w:t>
            </w:r>
          </w:p>
        </w:tc>
        <w:tc>
          <w:tcPr>
            <w:tcW w:w="6521" w:type="dxa"/>
            <w:tcBorders>
              <w:top w:val="nil"/>
              <w:left w:val="single" w:sz="4" w:space="0" w:color="auto"/>
              <w:bottom w:val="single" w:sz="4" w:space="0" w:color="auto"/>
              <w:right w:val="single" w:sz="4" w:space="0" w:color="auto"/>
            </w:tcBorders>
            <w:shd w:val="clear" w:color="auto" w:fill="auto"/>
            <w:vAlign w:val="center"/>
            <w:hideMark/>
          </w:tcPr>
          <w:p w:rsidR="004A1BF9" w:rsidRPr="00BC2132" w:rsidRDefault="004A1BF9" w:rsidP="00501EE5">
            <w:pPr>
              <w:ind w:firstLine="0"/>
              <w:jc w:val="left"/>
              <w:rPr>
                <w:bCs/>
                <w:sz w:val="22"/>
              </w:rPr>
            </w:pPr>
            <w:r>
              <w:rPr>
                <w:bCs/>
                <w:sz w:val="22"/>
              </w:rPr>
              <w:t>«</w:t>
            </w:r>
            <w:r w:rsidRPr="00BC2132">
              <w:rPr>
                <w:bCs/>
                <w:sz w:val="22"/>
              </w:rPr>
              <w:t>Развитие транспортной системы</w:t>
            </w:r>
            <w:r>
              <w:rPr>
                <w:bCs/>
                <w:sz w:val="22"/>
              </w:rPr>
              <w:t>»</w:t>
            </w:r>
            <w:r w:rsidRPr="00BC2132">
              <w:rPr>
                <w:sz w:val="22"/>
              </w:rPr>
              <w:t xml:space="preserve"> (Минтранс МО)</w:t>
            </w:r>
          </w:p>
        </w:tc>
        <w:tc>
          <w:tcPr>
            <w:tcW w:w="1560" w:type="dxa"/>
            <w:tcBorders>
              <w:top w:val="nil"/>
              <w:left w:val="nil"/>
              <w:bottom w:val="single" w:sz="4" w:space="0" w:color="auto"/>
              <w:right w:val="single" w:sz="4" w:space="0" w:color="auto"/>
            </w:tcBorders>
            <w:shd w:val="clear" w:color="auto" w:fill="FFFF00"/>
            <w:vAlign w:val="center"/>
            <w:hideMark/>
          </w:tcPr>
          <w:p w:rsidR="004A1BF9" w:rsidRDefault="00483A92" w:rsidP="004A1BF9">
            <w:pPr>
              <w:ind w:firstLine="0"/>
              <w:jc w:val="center"/>
              <w:rPr>
                <w:b/>
                <w:bCs/>
                <w:sz w:val="18"/>
                <w:szCs w:val="18"/>
                <w:u w:val="single"/>
              </w:rPr>
            </w:pPr>
            <w:r>
              <w:rPr>
                <w:b/>
                <w:bCs/>
                <w:sz w:val="18"/>
                <w:szCs w:val="18"/>
                <w:u w:val="single"/>
              </w:rPr>
              <w:t>92,1</w:t>
            </w:r>
            <w:r w:rsidR="004A1BF9">
              <w:rPr>
                <w:b/>
                <w:bCs/>
                <w:sz w:val="18"/>
                <w:szCs w:val="18"/>
                <w:u w:val="single"/>
              </w:rPr>
              <w:t>%</w:t>
            </w:r>
          </w:p>
        </w:tc>
        <w:tc>
          <w:tcPr>
            <w:tcW w:w="1559" w:type="dxa"/>
            <w:tcBorders>
              <w:top w:val="nil"/>
              <w:left w:val="nil"/>
              <w:bottom w:val="single" w:sz="4" w:space="0" w:color="auto"/>
              <w:right w:val="single" w:sz="4" w:space="0" w:color="auto"/>
            </w:tcBorders>
            <w:shd w:val="clear" w:color="000000" w:fill="99FF99"/>
            <w:vAlign w:val="center"/>
            <w:hideMark/>
          </w:tcPr>
          <w:p w:rsidR="004A1BF9" w:rsidRDefault="004A1BF9" w:rsidP="004A1BF9">
            <w:pPr>
              <w:ind w:firstLine="0"/>
              <w:jc w:val="center"/>
              <w:rPr>
                <w:b/>
                <w:bCs/>
                <w:sz w:val="18"/>
                <w:szCs w:val="18"/>
                <w:u w:val="single"/>
              </w:rPr>
            </w:pPr>
            <w:r>
              <w:rPr>
                <w:b/>
                <w:bCs/>
                <w:sz w:val="18"/>
                <w:szCs w:val="18"/>
                <w:u w:val="single"/>
              </w:rPr>
              <w:t>130,1%</w:t>
            </w:r>
          </w:p>
        </w:tc>
        <w:tc>
          <w:tcPr>
            <w:tcW w:w="1701" w:type="dxa"/>
            <w:tcBorders>
              <w:top w:val="nil"/>
              <w:left w:val="nil"/>
              <w:bottom w:val="single" w:sz="4" w:space="0" w:color="auto"/>
              <w:right w:val="single" w:sz="4" w:space="0" w:color="auto"/>
            </w:tcBorders>
            <w:shd w:val="clear" w:color="000000" w:fill="E6B9B8"/>
            <w:vAlign w:val="center"/>
            <w:hideMark/>
          </w:tcPr>
          <w:p w:rsidR="004A1BF9" w:rsidRDefault="004A1BF9" w:rsidP="004A1BF9">
            <w:pPr>
              <w:ind w:firstLine="34"/>
              <w:jc w:val="center"/>
              <w:rPr>
                <w:b/>
                <w:bCs/>
                <w:sz w:val="18"/>
                <w:szCs w:val="18"/>
                <w:u w:val="single"/>
              </w:rPr>
            </w:pPr>
            <w:r>
              <w:rPr>
                <w:b/>
                <w:bCs/>
                <w:sz w:val="18"/>
                <w:szCs w:val="18"/>
                <w:u w:val="single"/>
              </w:rPr>
              <w:t>70,3%</w:t>
            </w:r>
          </w:p>
        </w:tc>
        <w:tc>
          <w:tcPr>
            <w:tcW w:w="1984" w:type="dxa"/>
            <w:tcBorders>
              <w:top w:val="nil"/>
              <w:left w:val="nil"/>
              <w:bottom w:val="single" w:sz="4" w:space="0" w:color="auto"/>
              <w:right w:val="single" w:sz="4" w:space="0" w:color="auto"/>
            </w:tcBorders>
            <w:shd w:val="clear" w:color="000000" w:fill="FFFF00"/>
            <w:vAlign w:val="center"/>
            <w:hideMark/>
          </w:tcPr>
          <w:p w:rsidR="004A1BF9" w:rsidRDefault="004A1BF9" w:rsidP="004A1BF9">
            <w:pPr>
              <w:ind w:firstLine="0"/>
              <w:jc w:val="center"/>
              <w:rPr>
                <w:b/>
                <w:bCs/>
                <w:sz w:val="18"/>
                <w:szCs w:val="18"/>
                <w:u w:val="single"/>
              </w:rPr>
            </w:pPr>
            <w:r>
              <w:rPr>
                <w:b/>
                <w:bCs/>
                <w:sz w:val="18"/>
                <w:szCs w:val="18"/>
                <w:u w:val="single"/>
              </w:rPr>
              <w:t>96,73%</w:t>
            </w:r>
          </w:p>
        </w:tc>
        <w:tc>
          <w:tcPr>
            <w:tcW w:w="1843" w:type="dxa"/>
            <w:tcBorders>
              <w:top w:val="nil"/>
              <w:left w:val="nil"/>
              <w:bottom w:val="single" w:sz="4" w:space="0" w:color="auto"/>
              <w:right w:val="single" w:sz="4" w:space="0" w:color="auto"/>
            </w:tcBorders>
            <w:shd w:val="clear" w:color="000000" w:fill="FFFF00"/>
            <w:vAlign w:val="center"/>
            <w:hideMark/>
          </w:tcPr>
          <w:p w:rsidR="004A1BF9" w:rsidRDefault="004A1BF9" w:rsidP="004A1BF9">
            <w:pPr>
              <w:ind w:firstLine="0"/>
              <w:jc w:val="center"/>
              <w:rPr>
                <w:b/>
                <w:bCs/>
                <w:sz w:val="18"/>
                <w:szCs w:val="18"/>
                <w:u w:val="single"/>
              </w:rPr>
            </w:pPr>
            <w:r>
              <w:rPr>
                <w:b/>
                <w:bCs/>
                <w:sz w:val="18"/>
                <w:szCs w:val="18"/>
                <w:u w:val="single"/>
              </w:rPr>
              <w:t>Средняя</w:t>
            </w:r>
          </w:p>
        </w:tc>
      </w:tr>
      <w:tr w:rsidR="004A1BF9" w:rsidRPr="00BC2132" w:rsidTr="00733E0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43"/>
        </w:trPr>
        <w:tc>
          <w:tcPr>
            <w:tcW w:w="567" w:type="dxa"/>
            <w:tcBorders>
              <w:top w:val="nil"/>
              <w:left w:val="single" w:sz="4" w:space="0" w:color="auto"/>
              <w:bottom w:val="single" w:sz="4" w:space="0" w:color="auto"/>
              <w:right w:val="single" w:sz="4" w:space="0" w:color="auto"/>
            </w:tcBorders>
          </w:tcPr>
          <w:p w:rsidR="004A1BF9" w:rsidRPr="00BC2132" w:rsidRDefault="004A1BF9" w:rsidP="00BC2132">
            <w:pPr>
              <w:ind w:firstLine="0"/>
              <w:jc w:val="center"/>
              <w:rPr>
                <w:bCs/>
                <w:sz w:val="24"/>
                <w:szCs w:val="24"/>
              </w:rPr>
            </w:pPr>
            <w:r w:rsidRPr="00BC2132">
              <w:rPr>
                <w:bCs/>
                <w:sz w:val="24"/>
                <w:szCs w:val="24"/>
              </w:rPr>
              <w:t>13</w:t>
            </w:r>
          </w:p>
        </w:tc>
        <w:tc>
          <w:tcPr>
            <w:tcW w:w="6521" w:type="dxa"/>
            <w:tcBorders>
              <w:top w:val="nil"/>
              <w:left w:val="single" w:sz="4" w:space="0" w:color="auto"/>
              <w:bottom w:val="single" w:sz="4" w:space="0" w:color="auto"/>
              <w:right w:val="single" w:sz="4" w:space="0" w:color="auto"/>
            </w:tcBorders>
            <w:shd w:val="clear" w:color="auto" w:fill="auto"/>
            <w:vAlign w:val="center"/>
            <w:hideMark/>
          </w:tcPr>
          <w:p w:rsidR="004A1BF9" w:rsidRPr="00BC2132" w:rsidRDefault="004A1BF9" w:rsidP="00501EE5">
            <w:pPr>
              <w:ind w:firstLine="0"/>
              <w:jc w:val="left"/>
              <w:rPr>
                <w:bCs/>
                <w:sz w:val="22"/>
              </w:rPr>
            </w:pPr>
            <w:r>
              <w:rPr>
                <w:bCs/>
                <w:sz w:val="22"/>
              </w:rPr>
              <w:t>«</w:t>
            </w:r>
            <w:r w:rsidRPr="00BC2132">
              <w:rPr>
                <w:bCs/>
                <w:sz w:val="22"/>
              </w:rPr>
              <w:t>Развитие экономического потенциала и формирование благоприятного предпринимательского климата</w:t>
            </w:r>
            <w:r>
              <w:rPr>
                <w:bCs/>
                <w:sz w:val="22"/>
              </w:rPr>
              <w:t>»</w:t>
            </w:r>
            <w:r w:rsidRPr="00BC2132">
              <w:rPr>
                <w:sz w:val="22"/>
              </w:rPr>
              <w:t xml:space="preserve"> (</w:t>
            </w:r>
            <w:proofErr w:type="spellStart"/>
            <w:r w:rsidRPr="00BC2132">
              <w:rPr>
                <w:sz w:val="22"/>
              </w:rPr>
              <w:t>Минэк</w:t>
            </w:r>
            <w:proofErr w:type="spellEnd"/>
            <w:r w:rsidRPr="00BC2132">
              <w:rPr>
                <w:sz w:val="22"/>
              </w:rPr>
              <w:t xml:space="preserve"> МО)</w:t>
            </w:r>
          </w:p>
        </w:tc>
        <w:tc>
          <w:tcPr>
            <w:tcW w:w="1560" w:type="dxa"/>
            <w:tcBorders>
              <w:top w:val="nil"/>
              <w:left w:val="nil"/>
              <w:bottom w:val="single" w:sz="4" w:space="0" w:color="auto"/>
              <w:right w:val="single" w:sz="4" w:space="0" w:color="auto"/>
            </w:tcBorders>
            <w:shd w:val="clear" w:color="000000" w:fill="99FF99"/>
            <w:vAlign w:val="center"/>
            <w:hideMark/>
          </w:tcPr>
          <w:p w:rsidR="004A1BF9" w:rsidRDefault="00483A92" w:rsidP="004A1BF9">
            <w:pPr>
              <w:ind w:firstLine="0"/>
              <w:jc w:val="center"/>
              <w:rPr>
                <w:b/>
                <w:bCs/>
                <w:sz w:val="18"/>
                <w:szCs w:val="18"/>
                <w:u w:val="single"/>
              </w:rPr>
            </w:pPr>
            <w:r>
              <w:rPr>
                <w:b/>
                <w:bCs/>
                <w:sz w:val="18"/>
                <w:szCs w:val="18"/>
                <w:u w:val="single"/>
              </w:rPr>
              <w:t>99,5</w:t>
            </w:r>
            <w:r w:rsidR="004A1BF9">
              <w:rPr>
                <w:b/>
                <w:bCs/>
                <w:sz w:val="18"/>
                <w:szCs w:val="18"/>
                <w:u w:val="single"/>
              </w:rPr>
              <w:t>%</w:t>
            </w:r>
          </w:p>
        </w:tc>
        <w:tc>
          <w:tcPr>
            <w:tcW w:w="1559" w:type="dxa"/>
            <w:tcBorders>
              <w:top w:val="nil"/>
              <w:left w:val="nil"/>
              <w:bottom w:val="single" w:sz="4" w:space="0" w:color="auto"/>
              <w:right w:val="single" w:sz="4" w:space="0" w:color="auto"/>
            </w:tcBorders>
            <w:shd w:val="clear" w:color="auto" w:fill="FFFF00"/>
            <w:vAlign w:val="center"/>
            <w:hideMark/>
          </w:tcPr>
          <w:p w:rsidR="004A1BF9" w:rsidRDefault="004A1BF9" w:rsidP="004A1BF9">
            <w:pPr>
              <w:ind w:firstLine="0"/>
              <w:jc w:val="center"/>
              <w:rPr>
                <w:b/>
                <w:bCs/>
                <w:sz w:val="18"/>
                <w:szCs w:val="18"/>
                <w:u w:val="single"/>
              </w:rPr>
            </w:pPr>
            <w:r>
              <w:rPr>
                <w:b/>
                <w:bCs/>
                <w:sz w:val="18"/>
                <w:szCs w:val="18"/>
                <w:u w:val="single"/>
              </w:rPr>
              <w:t>94,7%</w:t>
            </w:r>
          </w:p>
        </w:tc>
        <w:tc>
          <w:tcPr>
            <w:tcW w:w="1701" w:type="dxa"/>
            <w:tcBorders>
              <w:top w:val="nil"/>
              <w:left w:val="nil"/>
              <w:bottom w:val="single" w:sz="4" w:space="0" w:color="auto"/>
              <w:right w:val="single" w:sz="4" w:space="0" w:color="auto"/>
            </w:tcBorders>
            <w:shd w:val="clear" w:color="000000" w:fill="FFC000"/>
            <w:vAlign w:val="center"/>
            <w:hideMark/>
          </w:tcPr>
          <w:p w:rsidR="004A1BF9" w:rsidRDefault="004A1BF9" w:rsidP="004A1BF9">
            <w:pPr>
              <w:ind w:firstLine="34"/>
              <w:jc w:val="center"/>
              <w:rPr>
                <w:b/>
                <w:bCs/>
                <w:sz w:val="18"/>
                <w:szCs w:val="18"/>
                <w:u w:val="single"/>
              </w:rPr>
            </w:pPr>
            <w:r>
              <w:rPr>
                <w:b/>
                <w:bCs/>
                <w:sz w:val="18"/>
                <w:szCs w:val="18"/>
                <w:u w:val="single"/>
              </w:rPr>
              <w:t>86,3%</w:t>
            </w:r>
          </w:p>
        </w:tc>
        <w:tc>
          <w:tcPr>
            <w:tcW w:w="1984" w:type="dxa"/>
            <w:tcBorders>
              <w:top w:val="nil"/>
              <w:left w:val="nil"/>
              <w:bottom w:val="single" w:sz="4" w:space="0" w:color="auto"/>
              <w:right w:val="single" w:sz="4" w:space="0" w:color="auto"/>
            </w:tcBorders>
            <w:shd w:val="clear" w:color="000000" w:fill="FFFF00"/>
            <w:vAlign w:val="center"/>
            <w:hideMark/>
          </w:tcPr>
          <w:p w:rsidR="004A1BF9" w:rsidRDefault="004A1BF9" w:rsidP="004A1BF9">
            <w:pPr>
              <w:ind w:firstLine="0"/>
              <w:jc w:val="center"/>
              <w:rPr>
                <w:b/>
                <w:bCs/>
                <w:sz w:val="18"/>
                <w:szCs w:val="18"/>
                <w:u w:val="single"/>
              </w:rPr>
            </w:pPr>
            <w:r>
              <w:rPr>
                <w:b/>
                <w:bCs/>
                <w:sz w:val="18"/>
                <w:szCs w:val="18"/>
                <w:u w:val="single"/>
              </w:rPr>
              <w:t>92,18%</w:t>
            </w:r>
          </w:p>
        </w:tc>
        <w:tc>
          <w:tcPr>
            <w:tcW w:w="1843" w:type="dxa"/>
            <w:tcBorders>
              <w:top w:val="nil"/>
              <w:left w:val="nil"/>
              <w:bottom w:val="single" w:sz="4" w:space="0" w:color="auto"/>
              <w:right w:val="single" w:sz="4" w:space="0" w:color="auto"/>
            </w:tcBorders>
            <w:shd w:val="clear" w:color="000000" w:fill="FFFF00"/>
            <w:vAlign w:val="center"/>
            <w:hideMark/>
          </w:tcPr>
          <w:p w:rsidR="004A1BF9" w:rsidRDefault="004A1BF9" w:rsidP="004A1BF9">
            <w:pPr>
              <w:ind w:firstLine="0"/>
              <w:jc w:val="center"/>
              <w:rPr>
                <w:b/>
                <w:bCs/>
                <w:sz w:val="18"/>
                <w:szCs w:val="18"/>
                <w:u w:val="single"/>
              </w:rPr>
            </w:pPr>
            <w:r>
              <w:rPr>
                <w:b/>
                <w:bCs/>
                <w:sz w:val="18"/>
                <w:szCs w:val="18"/>
                <w:u w:val="single"/>
              </w:rPr>
              <w:t>Средняя</w:t>
            </w:r>
          </w:p>
        </w:tc>
      </w:tr>
      <w:tr w:rsidR="004A1BF9" w:rsidRPr="00BC2132" w:rsidTr="00733E0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0"/>
        </w:trPr>
        <w:tc>
          <w:tcPr>
            <w:tcW w:w="567" w:type="dxa"/>
            <w:tcBorders>
              <w:top w:val="nil"/>
              <w:left w:val="single" w:sz="4" w:space="0" w:color="auto"/>
              <w:bottom w:val="single" w:sz="4" w:space="0" w:color="auto"/>
              <w:right w:val="single" w:sz="4" w:space="0" w:color="auto"/>
            </w:tcBorders>
          </w:tcPr>
          <w:p w:rsidR="004A1BF9" w:rsidRPr="00BC2132" w:rsidRDefault="004A1BF9" w:rsidP="00BC2132">
            <w:pPr>
              <w:ind w:firstLine="0"/>
              <w:jc w:val="center"/>
              <w:rPr>
                <w:bCs/>
                <w:sz w:val="24"/>
                <w:szCs w:val="24"/>
              </w:rPr>
            </w:pPr>
            <w:r w:rsidRPr="00BC2132">
              <w:rPr>
                <w:bCs/>
                <w:sz w:val="24"/>
                <w:szCs w:val="24"/>
              </w:rPr>
              <w:t>14</w:t>
            </w:r>
          </w:p>
        </w:tc>
        <w:tc>
          <w:tcPr>
            <w:tcW w:w="6521" w:type="dxa"/>
            <w:tcBorders>
              <w:top w:val="nil"/>
              <w:left w:val="single" w:sz="4" w:space="0" w:color="auto"/>
              <w:bottom w:val="single" w:sz="4" w:space="0" w:color="auto"/>
              <w:right w:val="single" w:sz="4" w:space="0" w:color="auto"/>
            </w:tcBorders>
            <w:shd w:val="clear" w:color="auto" w:fill="auto"/>
            <w:vAlign w:val="center"/>
            <w:hideMark/>
          </w:tcPr>
          <w:p w:rsidR="004A1BF9" w:rsidRPr="00BC2132" w:rsidRDefault="004A1BF9" w:rsidP="00BC2132">
            <w:pPr>
              <w:ind w:firstLine="0"/>
              <w:jc w:val="left"/>
              <w:rPr>
                <w:bCs/>
                <w:sz w:val="22"/>
              </w:rPr>
            </w:pPr>
            <w:r>
              <w:rPr>
                <w:bCs/>
                <w:sz w:val="22"/>
              </w:rPr>
              <w:t>«Информационное общество»</w:t>
            </w:r>
            <w:r w:rsidRPr="00BC2132">
              <w:rPr>
                <w:sz w:val="22"/>
              </w:rPr>
              <w:t xml:space="preserve"> (</w:t>
            </w:r>
            <w:proofErr w:type="spellStart"/>
            <w:r w:rsidRPr="00BC2132">
              <w:rPr>
                <w:sz w:val="22"/>
              </w:rPr>
              <w:t>Минцифра</w:t>
            </w:r>
            <w:proofErr w:type="spellEnd"/>
            <w:r w:rsidRPr="00BC2132">
              <w:rPr>
                <w:sz w:val="22"/>
              </w:rPr>
              <w:t xml:space="preserve"> МО)</w:t>
            </w:r>
          </w:p>
        </w:tc>
        <w:tc>
          <w:tcPr>
            <w:tcW w:w="1560" w:type="dxa"/>
            <w:tcBorders>
              <w:top w:val="nil"/>
              <w:left w:val="nil"/>
              <w:bottom w:val="single" w:sz="4" w:space="0" w:color="auto"/>
              <w:right w:val="single" w:sz="4" w:space="0" w:color="auto"/>
            </w:tcBorders>
            <w:shd w:val="clear" w:color="000000" w:fill="99FF99"/>
            <w:vAlign w:val="center"/>
            <w:hideMark/>
          </w:tcPr>
          <w:p w:rsidR="004A1BF9" w:rsidRDefault="00483A92" w:rsidP="004A1BF9">
            <w:pPr>
              <w:ind w:firstLine="0"/>
              <w:jc w:val="center"/>
              <w:rPr>
                <w:b/>
                <w:bCs/>
                <w:sz w:val="18"/>
                <w:szCs w:val="18"/>
                <w:u w:val="single"/>
              </w:rPr>
            </w:pPr>
            <w:r>
              <w:rPr>
                <w:b/>
                <w:bCs/>
                <w:sz w:val="18"/>
                <w:szCs w:val="18"/>
                <w:u w:val="single"/>
              </w:rPr>
              <w:t>100</w:t>
            </w:r>
            <w:r w:rsidR="004A1BF9">
              <w:rPr>
                <w:b/>
                <w:bCs/>
                <w:sz w:val="18"/>
                <w:szCs w:val="18"/>
                <w:u w:val="single"/>
              </w:rPr>
              <w:t>%</w:t>
            </w:r>
          </w:p>
        </w:tc>
        <w:tc>
          <w:tcPr>
            <w:tcW w:w="1559" w:type="dxa"/>
            <w:tcBorders>
              <w:top w:val="nil"/>
              <w:left w:val="nil"/>
              <w:bottom w:val="single" w:sz="4" w:space="0" w:color="auto"/>
              <w:right w:val="single" w:sz="4" w:space="0" w:color="auto"/>
            </w:tcBorders>
            <w:shd w:val="clear" w:color="000000" w:fill="99FF99"/>
            <w:vAlign w:val="center"/>
            <w:hideMark/>
          </w:tcPr>
          <w:p w:rsidR="004A1BF9" w:rsidRDefault="004A1BF9" w:rsidP="004A1BF9">
            <w:pPr>
              <w:ind w:firstLine="0"/>
              <w:jc w:val="center"/>
              <w:rPr>
                <w:b/>
                <w:bCs/>
                <w:sz w:val="18"/>
                <w:szCs w:val="18"/>
                <w:u w:val="single"/>
              </w:rPr>
            </w:pPr>
            <w:r>
              <w:rPr>
                <w:b/>
                <w:bCs/>
                <w:sz w:val="18"/>
                <w:szCs w:val="18"/>
                <w:u w:val="single"/>
              </w:rPr>
              <w:t>105,4%</w:t>
            </w:r>
          </w:p>
        </w:tc>
        <w:tc>
          <w:tcPr>
            <w:tcW w:w="1701" w:type="dxa"/>
            <w:tcBorders>
              <w:top w:val="nil"/>
              <w:left w:val="nil"/>
              <w:bottom w:val="single" w:sz="4" w:space="0" w:color="auto"/>
              <w:right w:val="single" w:sz="4" w:space="0" w:color="auto"/>
            </w:tcBorders>
            <w:shd w:val="clear" w:color="auto" w:fill="E5B8B7" w:themeFill="accent2" w:themeFillTint="66"/>
            <w:vAlign w:val="center"/>
            <w:hideMark/>
          </w:tcPr>
          <w:p w:rsidR="004A1BF9" w:rsidRDefault="004A1BF9" w:rsidP="004A1BF9">
            <w:pPr>
              <w:ind w:firstLine="34"/>
              <w:jc w:val="center"/>
              <w:rPr>
                <w:b/>
                <w:bCs/>
                <w:sz w:val="18"/>
                <w:szCs w:val="18"/>
                <w:u w:val="single"/>
              </w:rPr>
            </w:pPr>
            <w:r>
              <w:rPr>
                <w:b/>
                <w:bCs/>
                <w:sz w:val="18"/>
                <w:szCs w:val="18"/>
                <w:u w:val="single"/>
              </w:rPr>
              <w:t>78,2%</w:t>
            </w:r>
          </w:p>
        </w:tc>
        <w:tc>
          <w:tcPr>
            <w:tcW w:w="1984" w:type="dxa"/>
            <w:tcBorders>
              <w:top w:val="nil"/>
              <w:left w:val="nil"/>
              <w:bottom w:val="single" w:sz="4" w:space="0" w:color="auto"/>
              <w:right w:val="single" w:sz="4" w:space="0" w:color="auto"/>
            </w:tcBorders>
            <w:shd w:val="clear" w:color="000000" w:fill="FFFF00"/>
            <w:vAlign w:val="center"/>
            <w:hideMark/>
          </w:tcPr>
          <w:p w:rsidR="004A1BF9" w:rsidRDefault="004A1BF9" w:rsidP="004A1BF9">
            <w:pPr>
              <w:ind w:firstLine="0"/>
              <w:jc w:val="center"/>
              <w:rPr>
                <w:b/>
                <w:bCs/>
                <w:sz w:val="18"/>
                <w:szCs w:val="18"/>
                <w:u w:val="single"/>
              </w:rPr>
            </w:pPr>
            <w:r>
              <w:rPr>
                <w:b/>
                <w:bCs/>
                <w:sz w:val="18"/>
                <w:szCs w:val="18"/>
                <w:u w:val="single"/>
              </w:rPr>
              <w:t>93,2%</w:t>
            </w:r>
          </w:p>
        </w:tc>
        <w:tc>
          <w:tcPr>
            <w:tcW w:w="1843" w:type="dxa"/>
            <w:tcBorders>
              <w:top w:val="nil"/>
              <w:left w:val="nil"/>
              <w:bottom w:val="single" w:sz="4" w:space="0" w:color="auto"/>
              <w:right w:val="single" w:sz="4" w:space="0" w:color="auto"/>
            </w:tcBorders>
            <w:shd w:val="clear" w:color="000000" w:fill="FFFF00"/>
            <w:vAlign w:val="center"/>
            <w:hideMark/>
          </w:tcPr>
          <w:p w:rsidR="004A1BF9" w:rsidRDefault="004A1BF9" w:rsidP="004A1BF9">
            <w:pPr>
              <w:ind w:firstLine="0"/>
              <w:jc w:val="center"/>
              <w:rPr>
                <w:b/>
                <w:bCs/>
                <w:sz w:val="18"/>
                <w:szCs w:val="18"/>
                <w:u w:val="single"/>
              </w:rPr>
            </w:pPr>
            <w:r>
              <w:rPr>
                <w:b/>
                <w:bCs/>
                <w:sz w:val="18"/>
                <w:szCs w:val="18"/>
                <w:u w:val="single"/>
              </w:rPr>
              <w:t>Средняя</w:t>
            </w:r>
          </w:p>
        </w:tc>
      </w:tr>
      <w:tr w:rsidR="004A1BF9" w:rsidRPr="00BC2132" w:rsidTr="00733E0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990"/>
        </w:trPr>
        <w:tc>
          <w:tcPr>
            <w:tcW w:w="567" w:type="dxa"/>
            <w:tcBorders>
              <w:top w:val="nil"/>
              <w:left w:val="single" w:sz="4" w:space="0" w:color="auto"/>
              <w:bottom w:val="single" w:sz="4" w:space="0" w:color="auto"/>
              <w:right w:val="single" w:sz="4" w:space="0" w:color="auto"/>
            </w:tcBorders>
          </w:tcPr>
          <w:p w:rsidR="004A1BF9" w:rsidRPr="00BC2132" w:rsidRDefault="004A1BF9" w:rsidP="00BC2132">
            <w:pPr>
              <w:ind w:firstLine="0"/>
              <w:jc w:val="center"/>
              <w:rPr>
                <w:bCs/>
                <w:sz w:val="24"/>
                <w:szCs w:val="24"/>
              </w:rPr>
            </w:pPr>
            <w:r w:rsidRPr="00BC2132">
              <w:rPr>
                <w:bCs/>
                <w:sz w:val="24"/>
                <w:szCs w:val="24"/>
              </w:rPr>
              <w:t>15</w:t>
            </w:r>
          </w:p>
        </w:tc>
        <w:tc>
          <w:tcPr>
            <w:tcW w:w="6521" w:type="dxa"/>
            <w:tcBorders>
              <w:top w:val="nil"/>
              <w:left w:val="single" w:sz="4" w:space="0" w:color="auto"/>
              <w:bottom w:val="single" w:sz="4" w:space="0" w:color="auto"/>
              <w:right w:val="single" w:sz="4" w:space="0" w:color="auto"/>
            </w:tcBorders>
            <w:shd w:val="clear" w:color="auto" w:fill="auto"/>
            <w:vAlign w:val="center"/>
            <w:hideMark/>
          </w:tcPr>
          <w:p w:rsidR="004A1BF9" w:rsidRPr="00BC2132" w:rsidRDefault="004A1BF9" w:rsidP="00501EE5">
            <w:pPr>
              <w:ind w:firstLine="0"/>
              <w:jc w:val="left"/>
              <w:rPr>
                <w:bCs/>
                <w:sz w:val="22"/>
              </w:rPr>
            </w:pPr>
            <w:r>
              <w:rPr>
                <w:bCs/>
                <w:sz w:val="22"/>
              </w:rPr>
              <w:t>«</w:t>
            </w:r>
            <w:r w:rsidRPr="00BC2132">
              <w:rPr>
                <w:bCs/>
                <w:sz w:val="22"/>
              </w:rPr>
              <w:t>Управление региональными финансами, создание условий для эффективного и ответственного управления муниципальными финансами</w:t>
            </w:r>
            <w:r>
              <w:rPr>
                <w:bCs/>
                <w:sz w:val="22"/>
              </w:rPr>
              <w:t>»</w:t>
            </w:r>
            <w:r w:rsidRPr="00BC2132">
              <w:rPr>
                <w:sz w:val="22"/>
              </w:rPr>
              <w:t xml:space="preserve"> (Минфин МО)</w:t>
            </w:r>
          </w:p>
        </w:tc>
        <w:tc>
          <w:tcPr>
            <w:tcW w:w="1560" w:type="dxa"/>
            <w:tcBorders>
              <w:top w:val="nil"/>
              <w:left w:val="nil"/>
              <w:bottom w:val="single" w:sz="4" w:space="0" w:color="auto"/>
              <w:right w:val="single" w:sz="4" w:space="0" w:color="auto"/>
            </w:tcBorders>
            <w:shd w:val="clear" w:color="auto" w:fill="66FF99"/>
            <w:vAlign w:val="center"/>
            <w:hideMark/>
          </w:tcPr>
          <w:p w:rsidR="004A1BF9" w:rsidRDefault="00483A92" w:rsidP="004A1BF9">
            <w:pPr>
              <w:ind w:firstLine="0"/>
              <w:jc w:val="center"/>
              <w:rPr>
                <w:b/>
                <w:bCs/>
                <w:sz w:val="18"/>
                <w:szCs w:val="18"/>
                <w:u w:val="single"/>
              </w:rPr>
            </w:pPr>
            <w:r>
              <w:rPr>
                <w:b/>
                <w:bCs/>
                <w:sz w:val="18"/>
                <w:szCs w:val="18"/>
                <w:u w:val="single"/>
              </w:rPr>
              <w:t>99,9</w:t>
            </w:r>
            <w:r w:rsidR="004A1BF9">
              <w:rPr>
                <w:b/>
                <w:bCs/>
                <w:sz w:val="18"/>
                <w:szCs w:val="18"/>
                <w:u w:val="single"/>
              </w:rPr>
              <w:t>%</w:t>
            </w:r>
          </w:p>
        </w:tc>
        <w:tc>
          <w:tcPr>
            <w:tcW w:w="1559" w:type="dxa"/>
            <w:tcBorders>
              <w:top w:val="nil"/>
              <w:left w:val="nil"/>
              <w:bottom w:val="single" w:sz="4" w:space="0" w:color="auto"/>
              <w:right w:val="single" w:sz="4" w:space="0" w:color="auto"/>
            </w:tcBorders>
            <w:shd w:val="clear" w:color="000000" w:fill="99FF99"/>
            <w:vAlign w:val="center"/>
            <w:hideMark/>
          </w:tcPr>
          <w:p w:rsidR="004A1BF9" w:rsidRDefault="004A1BF9" w:rsidP="004A1BF9">
            <w:pPr>
              <w:ind w:firstLine="0"/>
              <w:jc w:val="center"/>
              <w:rPr>
                <w:b/>
                <w:bCs/>
                <w:sz w:val="18"/>
                <w:szCs w:val="18"/>
                <w:u w:val="single"/>
              </w:rPr>
            </w:pPr>
            <w:r>
              <w:rPr>
                <w:b/>
                <w:bCs/>
                <w:sz w:val="18"/>
                <w:szCs w:val="18"/>
                <w:u w:val="single"/>
              </w:rPr>
              <w:t>101,5%</w:t>
            </w:r>
          </w:p>
        </w:tc>
        <w:tc>
          <w:tcPr>
            <w:tcW w:w="1701" w:type="dxa"/>
            <w:tcBorders>
              <w:top w:val="nil"/>
              <w:left w:val="nil"/>
              <w:bottom w:val="single" w:sz="4" w:space="0" w:color="auto"/>
              <w:right w:val="single" w:sz="4" w:space="0" w:color="auto"/>
            </w:tcBorders>
            <w:shd w:val="clear" w:color="000000" w:fill="FFFF00"/>
            <w:vAlign w:val="center"/>
            <w:hideMark/>
          </w:tcPr>
          <w:p w:rsidR="004A1BF9" w:rsidRDefault="004A1BF9" w:rsidP="004A1BF9">
            <w:pPr>
              <w:ind w:firstLine="34"/>
              <w:jc w:val="center"/>
              <w:rPr>
                <w:b/>
                <w:bCs/>
                <w:sz w:val="18"/>
                <w:szCs w:val="18"/>
                <w:u w:val="single"/>
              </w:rPr>
            </w:pPr>
            <w:r>
              <w:rPr>
                <w:b/>
                <w:bCs/>
                <w:sz w:val="18"/>
                <w:szCs w:val="18"/>
                <w:u w:val="single"/>
              </w:rPr>
              <w:t>94,4%</w:t>
            </w:r>
          </w:p>
        </w:tc>
        <w:tc>
          <w:tcPr>
            <w:tcW w:w="1984" w:type="dxa"/>
            <w:tcBorders>
              <w:top w:val="nil"/>
              <w:left w:val="nil"/>
              <w:bottom w:val="single" w:sz="4" w:space="0" w:color="auto"/>
              <w:right w:val="single" w:sz="4" w:space="0" w:color="auto"/>
            </w:tcBorders>
            <w:shd w:val="clear" w:color="000000" w:fill="99FF99"/>
            <w:vAlign w:val="center"/>
            <w:hideMark/>
          </w:tcPr>
          <w:p w:rsidR="004A1BF9" w:rsidRDefault="004A1BF9" w:rsidP="004A1BF9">
            <w:pPr>
              <w:ind w:firstLine="0"/>
              <w:jc w:val="center"/>
              <w:rPr>
                <w:b/>
                <w:bCs/>
                <w:sz w:val="18"/>
                <w:szCs w:val="18"/>
                <w:u w:val="single"/>
              </w:rPr>
            </w:pPr>
            <w:r>
              <w:rPr>
                <w:b/>
                <w:bCs/>
                <w:sz w:val="18"/>
                <w:szCs w:val="18"/>
                <w:u w:val="single"/>
              </w:rPr>
              <w:t>97,49%</w:t>
            </w:r>
          </w:p>
        </w:tc>
        <w:tc>
          <w:tcPr>
            <w:tcW w:w="1843" w:type="dxa"/>
            <w:tcBorders>
              <w:top w:val="nil"/>
              <w:left w:val="nil"/>
              <w:bottom w:val="single" w:sz="4" w:space="0" w:color="auto"/>
              <w:right w:val="single" w:sz="4" w:space="0" w:color="auto"/>
            </w:tcBorders>
            <w:shd w:val="clear" w:color="000000" w:fill="99FF99"/>
            <w:vAlign w:val="center"/>
            <w:hideMark/>
          </w:tcPr>
          <w:p w:rsidR="004A1BF9" w:rsidRDefault="004A1BF9" w:rsidP="004A1BF9">
            <w:pPr>
              <w:ind w:firstLine="0"/>
              <w:jc w:val="center"/>
              <w:rPr>
                <w:b/>
                <w:bCs/>
                <w:sz w:val="18"/>
                <w:szCs w:val="18"/>
                <w:u w:val="single"/>
              </w:rPr>
            </w:pPr>
            <w:r>
              <w:rPr>
                <w:b/>
                <w:bCs/>
                <w:sz w:val="18"/>
                <w:szCs w:val="18"/>
                <w:u w:val="single"/>
              </w:rPr>
              <w:t>Высокая</w:t>
            </w:r>
          </w:p>
        </w:tc>
      </w:tr>
      <w:tr w:rsidR="004A1BF9" w:rsidRPr="00BC2132" w:rsidTr="00733E0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0"/>
        </w:trPr>
        <w:tc>
          <w:tcPr>
            <w:tcW w:w="567" w:type="dxa"/>
            <w:tcBorders>
              <w:top w:val="nil"/>
              <w:left w:val="single" w:sz="4" w:space="0" w:color="auto"/>
              <w:bottom w:val="single" w:sz="4" w:space="0" w:color="auto"/>
              <w:right w:val="single" w:sz="4" w:space="0" w:color="auto"/>
            </w:tcBorders>
          </w:tcPr>
          <w:p w:rsidR="004A1BF9" w:rsidRPr="00BC2132" w:rsidRDefault="004A1BF9" w:rsidP="00BC2132">
            <w:pPr>
              <w:ind w:firstLine="0"/>
              <w:jc w:val="center"/>
              <w:rPr>
                <w:bCs/>
                <w:sz w:val="24"/>
                <w:szCs w:val="24"/>
              </w:rPr>
            </w:pPr>
            <w:r w:rsidRPr="00BC2132">
              <w:rPr>
                <w:bCs/>
                <w:sz w:val="24"/>
                <w:szCs w:val="24"/>
              </w:rPr>
              <w:t>16</w:t>
            </w:r>
          </w:p>
        </w:tc>
        <w:tc>
          <w:tcPr>
            <w:tcW w:w="6521" w:type="dxa"/>
            <w:tcBorders>
              <w:top w:val="nil"/>
              <w:left w:val="single" w:sz="4" w:space="0" w:color="auto"/>
              <w:bottom w:val="single" w:sz="4" w:space="0" w:color="auto"/>
              <w:right w:val="single" w:sz="4" w:space="0" w:color="auto"/>
            </w:tcBorders>
            <w:shd w:val="clear" w:color="auto" w:fill="auto"/>
            <w:vAlign w:val="center"/>
            <w:hideMark/>
          </w:tcPr>
          <w:p w:rsidR="004A1BF9" w:rsidRPr="00BC2132" w:rsidRDefault="004A1BF9" w:rsidP="00BC2132">
            <w:pPr>
              <w:ind w:firstLine="0"/>
              <w:jc w:val="left"/>
              <w:rPr>
                <w:bCs/>
                <w:sz w:val="22"/>
              </w:rPr>
            </w:pPr>
            <w:r>
              <w:rPr>
                <w:bCs/>
                <w:sz w:val="22"/>
              </w:rPr>
              <w:t>«</w:t>
            </w:r>
            <w:r w:rsidRPr="00BC2132">
              <w:rPr>
                <w:bCs/>
                <w:sz w:val="22"/>
              </w:rPr>
              <w:t>Государственное уп</w:t>
            </w:r>
            <w:r>
              <w:rPr>
                <w:bCs/>
                <w:sz w:val="22"/>
              </w:rPr>
              <w:t>равление и гражданское общество»</w:t>
            </w:r>
            <w:r w:rsidRPr="00BC2132">
              <w:rPr>
                <w:sz w:val="22"/>
              </w:rPr>
              <w:t xml:space="preserve"> (Аппарат ПМО)</w:t>
            </w:r>
          </w:p>
        </w:tc>
        <w:tc>
          <w:tcPr>
            <w:tcW w:w="1560" w:type="dxa"/>
            <w:tcBorders>
              <w:top w:val="nil"/>
              <w:left w:val="nil"/>
              <w:bottom w:val="single" w:sz="4" w:space="0" w:color="auto"/>
              <w:right w:val="single" w:sz="4" w:space="0" w:color="auto"/>
            </w:tcBorders>
            <w:shd w:val="clear" w:color="auto" w:fill="66FF99"/>
            <w:vAlign w:val="center"/>
            <w:hideMark/>
          </w:tcPr>
          <w:p w:rsidR="004A1BF9" w:rsidRDefault="00483A92" w:rsidP="004A1BF9">
            <w:pPr>
              <w:ind w:firstLine="0"/>
              <w:jc w:val="center"/>
              <w:rPr>
                <w:b/>
                <w:bCs/>
                <w:sz w:val="18"/>
                <w:szCs w:val="18"/>
                <w:u w:val="single"/>
              </w:rPr>
            </w:pPr>
            <w:r>
              <w:rPr>
                <w:b/>
                <w:bCs/>
                <w:sz w:val="18"/>
                <w:szCs w:val="18"/>
                <w:u w:val="single"/>
              </w:rPr>
              <w:t>97,0</w:t>
            </w:r>
            <w:r w:rsidR="004A1BF9">
              <w:rPr>
                <w:b/>
                <w:bCs/>
                <w:sz w:val="18"/>
                <w:szCs w:val="18"/>
                <w:u w:val="single"/>
              </w:rPr>
              <w:t>%</w:t>
            </w:r>
          </w:p>
        </w:tc>
        <w:tc>
          <w:tcPr>
            <w:tcW w:w="1559" w:type="dxa"/>
            <w:tcBorders>
              <w:top w:val="nil"/>
              <w:left w:val="nil"/>
              <w:bottom w:val="single" w:sz="4" w:space="0" w:color="auto"/>
              <w:right w:val="single" w:sz="4" w:space="0" w:color="auto"/>
            </w:tcBorders>
            <w:shd w:val="clear" w:color="auto" w:fill="FFFF00"/>
            <w:vAlign w:val="center"/>
            <w:hideMark/>
          </w:tcPr>
          <w:p w:rsidR="004A1BF9" w:rsidRDefault="004A1BF9" w:rsidP="004A1BF9">
            <w:pPr>
              <w:ind w:firstLine="0"/>
              <w:jc w:val="center"/>
              <w:rPr>
                <w:b/>
                <w:bCs/>
                <w:sz w:val="18"/>
                <w:szCs w:val="18"/>
                <w:u w:val="single"/>
              </w:rPr>
            </w:pPr>
            <w:r>
              <w:rPr>
                <w:b/>
                <w:bCs/>
                <w:sz w:val="18"/>
                <w:szCs w:val="18"/>
                <w:u w:val="single"/>
              </w:rPr>
              <w:t>96,6%</w:t>
            </w:r>
          </w:p>
        </w:tc>
        <w:tc>
          <w:tcPr>
            <w:tcW w:w="1701" w:type="dxa"/>
            <w:tcBorders>
              <w:top w:val="nil"/>
              <w:left w:val="nil"/>
              <w:bottom w:val="single" w:sz="4" w:space="0" w:color="auto"/>
              <w:right w:val="single" w:sz="4" w:space="0" w:color="auto"/>
            </w:tcBorders>
            <w:shd w:val="clear" w:color="auto" w:fill="FFC000"/>
            <w:vAlign w:val="center"/>
            <w:hideMark/>
          </w:tcPr>
          <w:p w:rsidR="004A1BF9" w:rsidRDefault="004A1BF9" w:rsidP="004A1BF9">
            <w:pPr>
              <w:ind w:firstLine="34"/>
              <w:jc w:val="center"/>
              <w:rPr>
                <w:b/>
                <w:bCs/>
                <w:sz w:val="18"/>
                <w:szCs w:val="18"/>
                <w:u w:val="single"/>
              </w:rPr>
            </w:pPr>
            <w:r>
              <w:rPr>
                <w:b/>
                <w:bCs/>
                <w:sz w:val="18"/>
                <w:szCs w:val="18"/>
                <w:u w:val="single"/>
              </w:rPr>
              <w:t>89,5%</w:t>
            </w:r>
          </w:p>
        </w:tc>
        <w:tc>
          <w:tcPr>
            <w:tcW w:w="1984" w:type="dxa"/>
            <w:tcBorders>
              <w:top w:val="nil"/>
              <w:left w:val="nil"/>
              <w:bottom w:val="single" w:sz="4" w:space="0" w:color="auto"/>
              <w:right w:val="single" w:sz="4" w:space="0" w:color="auto"/>
            </w:tcBorders>
            <w:shd w:val="clear" w:color="auto" w:fill="FFFF00"/>
            <w:vAlign w:val="center"/>
            <w:hideMark/>
          </w:tcPr>
          <w:p w:rsidR="004A1BF9" w:rsidRDefault="004A1BF9" w:rsidP="004A1BF9">
            <w:pPr>
              <w:ind w:firstLine="0"/>
              <w:jc w:val="center"/>
              <w:rPr>
                <w:b/>
                <w:bCs/>
                <w:sz w:val="18"/>
                <w:szCs w:val="18"/>
                <w:u w:val="single"/>
              </w:rPr>
            </w:pPr>
            <w:r>
              <w:rPr>
                <w:b/>
                <w:bCs/>
                <w:sz w:val="18"/>
                <w:szCs w:val="18"/>
                <w:u w:val="single"/>
              </w:rPr>
              <w:t>93,17%</w:t>
            </w:r>
          </w:p>
        </w:tc>
        <w:tc>
          <w:tcPr>
            <w:tcW w:w="1843" w:type="dxa"/>
            <w:tcBorders>
              <w:top w:val="nil"/>
              <w:left w:val="nil"/>
              <w:bottom w:val="single" w:sz="4" w:space="0" w:color="auto"/>
              <w:right w:val="single" w:sz="4" w:space="0" w:color="auto"/>
            </w:tcBorders>
            <w:shd w:val="clear" w:color="auto" w:fill="FFFF00"/>
            <w:vAlign w:val="center"/>
            <w:hideMark/>
          </w:tcPr>
          <w:p w:rsidR="004A1BF9" w:rsidRDefault="004A1BF9" w:rsidP="004A1BF9">
            <w:pPr>
              <w:ind w:firstLine="0"/>
              <w:jc w:val="center"/>
              <w:rPr>
                <w:b/>
                <w:bCs/>
                <w:sz w:val="18"/>
                <w:szCs w:val="18"/>
                <w:u w:val="single"/>
              </w:rPr>
            </w:pPr>
            <w:r>
              <w:rPr>
                <w:b/>
                <w:bCs/>
                <w:sz w:val="18"/>
                <w:szCs w:val="18"/>
                <w:u w:val="single"/>
              </w:rPr>
              <w:t>Средняя</w:t>
            </w:r>
          </w:p>
        </w:tc>
      </w:tr>
    </w:tbl>
    <w:p w:rsidR="00556361" w:rsidRDefault="00556361" w:rsidP="006244A7">
      <w:pPr>
        <w:autoSpaceDE w:val="0"/>
        <w:autoSpaceDN w:val="0"/>
        <w:adjustRightInd w:val="0"/>
        <w:ind w:firstLine="540"/>
        <w:rPr>
          <w:szCs w:val="28"/>
        </w:rPr>
        <w:sectPr w:rsidR="00556361" w:rsidSect="00EC205D">
          <w:pgSz w:w="16838" w:h="11906" w:orient="landscape"/>
          <w:pgMar w:top="851" w:right="1134" w:bottom="709" w:left="1134" w:header="709" w:footer="709" w:gutter="0"/>
          <w:cols w:space="708"/>
          <w:docGrid w:linePitch="360"/>
        </w:sectPr>
      </w:pPr>
    </w:p>
    <w:p w:rsidR="0088448F" w:rsidRDefault="0088448F" w:rsidP="0088448F">
      <w:pPr>
        <w:rPr>
          <w:szCs w:val="28"/>
        </w:rPr>
      </w:pPr>
    </w:p>
    <w:p w:rsidR="00096B18" w:rsidRPr="00855CDA" w:rsidRDefault="00096B18" w:rsidP="00B93BB7">
      <w:pPr>
        <w:pStyle w:val="1"/>
      </w:pPr>
      <w:r w:rsidRPr="00855CDA">
        <w:t>Выводы и рекомендации</w:t>
      </w:r>
    </w:p>
    <w:p w:rsidR="00096B18" w:rsidRPr="00535707" w:rsidRDefault="00096B18" w:rsidP="00096B18">
      <w:pPr>
        <w:pStyle w:val="ConsPlusCell"/>
        <w:ind w:firstLine="709"/>
        <w:jc w:val="both"/>
        <w:rPr>
          <w:rStyle w:val="FontStyle14"/>
          <w:b/>
        </w:rPr>
      </w:pPr>
    </w:p>
    <w:p w:rsidR="00135D0B" w:rsidRPr="00535707" w:rsidRDefault="00135D0B" w:rsidP="00135D0B">
      <w:pPr>
        <w:pStyle w:val="ConsPlusCell"/>
        <w:ind w:firstLine="709"/>
        <w:jc w:val="both"/>
        <w:rPr>
          <w:rStyle w:val="FontStyle14"/>
          <w:sz w:val="28"/>
          <w:szCs w:val="28"/>
        </w:rPr>
      </w:pPr>
      <w:r w:rsidRPr="00535707">
        <w:rPr>
          <w:rStyle w:val="FontStyle14"/>
          <w:sz w:val="28"/>
          <w:szCs w:val="28"/>
        </w:rPr>
        <w:t>Анализ итогов реализации государственных программ Мурманской области свидетельствует о</w:t>
      </w:r>
      <w:r w:rsidR="00FD0612" w:rsidRPr="00535707">
        <w:rPr>
          <w:rStyle w:val="FontStyle14"/>
          <w:sz w:val="28"/>
          <w:szCs w:val="28"/>
        </w:rPr>
        <w:t xml:space="preserve"> том, что при </w:t>
      </w:r>
      <w:r w:rsidRPr="00535707">
        <w:rPr>
          <w:rStyle w:val="FontStyle14"/>
          <w:sz w:val="28"/>
          <w:szCs w:val="28"/>
        </w:rPr>
        <w:t>сохранении в целом высокого качества планирования и реал</w:t>
      </w:r>
      <w:r w:rsidR="00AB05A9" w:rsidRPr="00535707">
        <w:rPr>
          <w:rStyle w:val="FontStyle14"/>
          <w:sz w:val="28"/>
          <w:szCs w:val="28"/>
        </w:rPr>
        <w:t xml:space="preserve">изации государственных программ </w:t>
      </w:r>
      <w:r w:rsidRPr="00535707">
        <w:rPr>
          <w:rStyle w:val="FontStyle14"/>
          <w:sz w:val="28"/>
          <w:szCs w:val="28"/>
        </w:rPr>
        <w:t xml:space="preserve">по-прежнему по отдельным государственным программам отмечается недостаточная зависимость значений показателей от степени выполнения предусмотренных мероприятий (см. критерии К1 и К3 в Приложении № 4), что </w:t>
      </w:r>
      <w:r w:rsidR="00AB05A9" w:rsidRPr="00535707">
        <w:rPr>
          <w:rStyle w:val="FontStyle14"/>
          <w:sz w:val="28"/>
          <w:szCs w:val="28"/>
        </w:rPr>
        <w:t>указывает</w:t>
      </w:r>
      <w:r w:rsidRPr="00535707">
        <w:rPr>
          <w:rStyle w:val="FontStyle14"/>
          <w:sz w:val="28"/>
          <w:szCs w:val="28"/>
        </w:rPr>
        <w:t>:</w:t>
      </w:r>
    </w:p>
    <w:p w:rsidR="00CD2F88" w:rsidRPr="00CD2F88" w:rsidRDefault="00CD2F88" w:rsidP="00CD2F88">
      <w:pPr>
        <w:pStyle w:val="ConsPlusCell"/>
        <w:ind w:firstLine="709"/>
        <w:jc w:val="both"/>
        <w:rPr>
          <w:rStyle w:val="FontStyle14"/>
          <w:sz w:val="28"/>
          <w:szCs w:val="28"/>
        </w:rPr>
      </w:pPr>
      <w:r w:rsidRPr="00CD2F88">
        <w:rPr>
          <w:rStyle w:val="FontStyle14"/>
          <w:sz w:val="28"/>
          <w:szCs w:val="28"/>
        </w:rPr>
        <w:t>- на отсутствие влияния включенных в государственные программы комплексов мероприятий на фактические значения показателей (подпрограммы 1 и 4 государственной программы «Развитие здравоохранения», подпрограмма 3 государственной программы «Развитие образования», государственная программа «Социальная поддержка граждан», государственная программа «Развитие физической культуры и спорта», государственная программа «Развитие культуры и сохранение культурного наследия региона», государственная программа «Обеспечение комфортной среды проживания населения региона», подпрограмма 3 государственной программы «Обеспечение общественного порядка и безопасности населения региона», подпрограммы 1, 2 и 5 государственной программы «Охрана окружающей среды и воспроизводство природных ресурсов», государственная программа «Развитие транспортной системы», подпрограммы 1, 3 и 4 государственной программы «Развитие экономического потенциала и формирование благоприятного предпринимательского климата», подпрограмма 1 государственной программы «Информационное общество»,  подпрограмма 4 государственной программы «Управление региональными финансами, создание условий для эффективного и ответственного управления муниципальными финансами», подпрограмма 4 государственной программы  «Государственное управление и гражданское общество»);</w:t>
      </w:r>
    </w:p>
    <w:p w:rsidR="00135D0B" w:rsidRPr="00535707" w:rsidRDefault="00135D0B" w:rsidP="00135D0B">
      <w:pPr>
        <w:pStyle w:val="ConsPlusCell"/>
        <w:ind w:firstLine="709"/>
        <w:jc w:val="both"/>
        <w:rPr>
          <w:rStyle w:val="FontStyle14"/>
          <w:sz w:val="28"/>
          <w:szCs w:val="28"/>
        </w:rPr>
      </w:pPr>
      <w:r w:rsidRPr="00A85CDD">
        <w:rPr>
          <w:rStyle w:val="FontStyle14"/>
          <w:sz w:val="28"/>
          <w:szCs w:val="28"/>
        </w:rPr>
        <w:t>- </w:t>
      </w:r>
      <w:r w:rsidR="00AB05A9" w:rsidRPr="00A85CDD">
        <w:rPr>
          <w:rStyle w:val="FontStyle14"/>
          <w:sz w:val="28"/>
          <w:szCs w:val="28"/>
        </w:rPr>
        <w:t>на</w:t>
      </w:r>
      <w:r w:rsidRPr="00A85CDD">
        <w:rPr>
          <w:rStyle w:val="FontStyle14"/>
          <w:sz w:val="28"/>
          <w:szCs w:val="28"/>
        </w:rPr>
        <w:t xml:space="preserve"> недостаточност</w:t>
      </w:r>
      <w:r w:rsidR="00AB05A9" w:rsidRPr="00A85CDD">
        <w:rPr>
          <w:rStyle w:val="FontStyle14"/>
          <w:sz w:val="28"/>
          <w:szCs w:val="28"/>
        </w:rPr>
        <w:t>ь</w:t>
      </w:r>
      <w:r w:rsidRPr="00A85CDD">
        <w:rPr>
          <w:rStyle w:val="FontStyle14"/>
          <w:sz w:val="28"/>
          <w:szCs w:val="28"/>
        </w:rPr>
        <w:t xml:space="preserve"> предусмотренных мер для достижения целевых значений показателей (</w:t>
      </w:r>
      <w:r w:rsidR="00725A91" w:rsidRPr="00A85CDD">
        <w:rPr>
          <w:rStyle w:val="FontStyle14"/>
          <w:sz w:val="28"/>
          <w:szCs w:val="28"/>
        </w:rPr>
        <w:t>подпрограммы 3 и 6 государственной программы «Охрана окружающей среды и воспроизводство природных ресурсов»</w:t>
      </w:r>
      <w:r w:rsidRPr="00A85CDD">
        <w:rPr>
          <w:rStyle w:val="FontStyle14"/>
          <w:sz w:val="28"/>
          <w:szCs w:val="28"/>
        </w:rPr>
        <w:t>).</w:t>
      </w:r>
    </w:p>
    <w:p w:rsidR="0046420A" w:rsidRPr="00FB12A6" w:rsidRDefault="00FB12A6" w:rsidP="0046420A">
      <w:pPr>
        <w:ind w:firstLine="708"/>
        <w:rPr>
          <w:rStyle w:val="FontStyle14"/>
          <w:sz w:val="28"/>
          <w:szCs w:val="28"/>
        </w:rPr>
      </w:pPr>
      <w:r w:rsidRPr="00FB12A6">
        <w:rPr>
          <w:rStyle w:val="FontStyle14"/>
          <w:sz w:val="28"/>
          <w:szCs w:val="28"/>
        </w:rPr>
        <w:t xml:space="preserve">Отмечается </w:t>
      </w:r>
      <w:r w:rsidR="0046420A" w:rsidRPr="00FB12A6">
        <w:rPr>
          <w:rStyle w:val="FontStyle14"/>
          <w:sz w:val="28"/>
          <w:szCs w:val="28"/>
        </w:rPr>
        <w:t>отставани</w:t>
      </w:r>
      <w:r w:rsidRPr="00FB12A6">
        <w:rPr>
          <w:rStyle w:val="FontStyle14"/>
          <w:sz w:val="28"/>
          <w:szCs w:val="28"/>
        </w:rPr>
        <w:t>е</w:t>
      </w:r>
      <w:r w:rsidR="0046420A" w:rsidRPr="00FB12A6">
        <w:rPr>
          <w:rStyle w:val="FontStyle14"/>
          <w:sz w:val="28"/>
          <w:szCs w:val="28"/>
        </w:rPr>
        <w:t xml:space="preserve"> от графиков производства работ на объектах капитального строительства,</w:t>
      </w:r>
      <w:r w:rsidR="00AB05A9" w:rsidRPr="00FB12A6">
        <w:rPr>
          <w:rStyle w:val="FontStyle14"/>
          <w:sz w:val="28"/>
          <w:szCs w:val="28"/>
        </w:rPr>
        <w:t xml:space="preserve">что </w:t>
      </w:r>
      <w:r w:rsidR="002E4E0C" w:rsidRPr="00FB12A6">
        <w:rPr>
          <w:rStyle w:val="FontStyle14"/>
          <w:sz w:val="28"/>
          <w:szCs w:val="28"/>
        </w:rPr>
        <w:t>требу</w:t>
      </w:r>
      <w:r w:rsidR="00AB05A9" w:rsidRPr="00FB12A6">
        <w:rPr>
          <w:rStyle w:val="FontStyle14"/>
          <w:sz w:val="28"/>
          <w:szCs w:val="28"/>
        </w:rPr>
        <w:t>ет</w:t>
      </w:r>
      <w:r w:rsidR="002E4E0C" w:rsidRPr="00FB12A6">
        <w:rPr>
          <w:rStyle w:val="FontStyle14"/>
          <w:sz w:val="28"/>
          <w:szCs w:val="28"/>
        </w:rPr>
        <w:t xml:space="preserve"> принятия дополнительных мер по</w:t>
      </w:r>
      <w:r w:rsidR="0046420A" w:rsidRPr="00FB12A6">
        <w:rPr>
          <w:rStyle w:val="FontStyle14"/>
          <w:sz w:val="28"/>
          <w:szCs w:val="28"/>
        </w:rPr>
        <w:t xml:space="preserve"> осуществле</w:t>
      </w:r>
      <w:r w:rsidR="002E4E0C" w:rsidRPr="00FB12A6">
        <w:rPr>
          <w:rStyle w:val="FontStyle14"/>
          <w:sz w:val="28"/>
          <w:szCs w:val="28"/>
        </w:rPr>
        <w:t>ниюконтроля</w:t>
      </w:r>
      <w:r w:rsidR="0046420A" w:rsidRPr="00FB12A6">
        <w:rPr>
          <w:rStyle w:val="FontStyle14"/>
          <w:sz w:val="28"/>
          <w:szCs w:val="28"/>
        </w:rPr>
        <w:t xml:space="preserve"> со стороны исполнительных органов государственной власти Мурманской области выполнения работ по капитальному строительству, заказчиками которых выступают органы местного самоуправления и подведомственные организации. </w:t>
      </w:r>
    </w:p>
    <w:p w:rsidR="0046420A" w:rsidRPr="00535707" w:rsidRDefault="00FB12A6" w:rsidP="0046420A">
      <w:pPr>
        <w:pStyle w:val="ConsPlusCell"/>
        <w:ind w:firstLine="709"/>
        <w:jc w:val="both"/>
        <w:rPr>
          <w:rStyle w:val="FontStyle14"/>
          <w:sz w:val="28"/>
          <w:szCs w:val="28"/>
        </w:rPr>
      </w:pPr>
      <w:r w:rsidRPr="0041268A">
        <w:rPr>
          <w:rStyle w:val="FontStyle14"/>
          <w:sz w:val="28"/>
          <w:szCs w:val="28"/>
        </w:rPr>
        <w:t>П</w:t>
      </w:r>
      <w:r w:rsidR="0046420A" w:rsidRPr="0041268A">
        <w:rPr>
          <w:rStyle w:val="FontStyle14"/>
          <w:sz w:val="28"/>
          <w:szCs w:val="28"/>
        </w:rPr>
        <w:t xml:space="preserve">ри подготовке годовых отчетов о ходе реализации государственных программ исполнительными органами государственной власти Мурманской области не </w:t>
      </w:r>
      <w:r w:rsidR="00AB05A9" w:rsidRPr="0041268A">
        <w:rPr>
          <w:rStyle w:val="FontStyle14"/>
          <w:sz w:val="28"/>
          <w:szCs w:val="28"/>
        </w:rPr>
        <w:t>проводится</w:t>
      </w:r>
      <w:r w:rsidR="0046420A" w:rsidRPr="0041268A">
        <w:rPr>
          <w:rStyle w:val="FontStyle14"/>
          <w:sz w:val="28"/>
          <w:szCs w:val="28"/>
        </w:rPr>
        <w:t xml:space="preserve"> полноценный анализ причин невыполнения отдельных мероприятий, недостижения плановых значений ряда показателей или отсутствия положительной их динамики в сравнении с 20</w:t>
      </w:r>
      <w:r w:rsidR="009E3F72" w:rsidRPr="0041268A">
        <w:rPr>
          <w:rStyle w:val="FontStyle14"/>
          <w:sz w:val="28"/>
          <w:szCs w:val="28"/>
        </w:rPr>
        <w:t>19</w:t>
      </w:r>
      <w:r w:rsidR="0046420A" w:rsidRPr="0041268A">
        <w:rPr>
          <w:rStyle w:val="FontStyle14"/>
          <w:sz w:val="28"/>
          <w:szCs w:val="28"/>
        </w:rPr>
        <w:t xml:space="preserve"> годом, а также не осуществля</w:t>
      </w:r>
      <w:r w:rsidR="00AB05A9" w:rsidRPr="0041268A">
        <w:rPr>
          <w:rStyle w:val="FontStyle14"/>
          <w:sz w:val="28"/>
          <w:szCs w:val="28"/>
        </w:rPr>
        <w:t>ется</w:t>
      </w:r>
      <w:r w:rsidR="0046420A" w:rsidRPr="0041268A">
        <w:rPr>
          <w:rStyle w:val="FontStyle14"/>
          <w:sz w:val="28"/>
          <w:szCs w:val="28"/>
        </w:rPr>
        <w:t xml:space="preserve"> выработка мер по улучшению значений показателей (в </w:t>
      </w:r>
      <w:r w:rsidR="0046420A" w:rsidRPr="0041268A">
        <w:rPr>
          <w:rStyle w:val="FontStyle14"/>
          <w:sz w:val="28"/>
          <w:szCs w:val="28"/>
        </w:rPr>
        <w:lastRenderedPageBreak/>
        <w:t>отдельных случаях – по повышению эффективности реализации государственной программы в целом).</w:t>
      </w:r>
    </w:p>
    <w:p w:rsidR="000D6C97" w:rsidRPr="00535707" w:rsidRDefault="000D6C97" w:rsidP="00096B18">
      <w:pPr>
        <w:pStyle w:val="ConsPlusCell"/>
        <w:ind w:firstLine="709"/>
        <w:jc w:val="both"/>
        <w:rPr>
          <w:rStyle w:val="FontStyle14"/>
          <w:sz w:val="28"/>
          <w:szCs w:val="28"/>
        </w:rPr>
      </w:pPr>
    </w:p>
    <w:p w:rsidR="0041268A" w:rsidRPr="0041268A" w:rsidRDefault="0041268A" w:rsidP="0041268A">
      <w:pPr>
        <w:pStyle w:val="ConsPlusCell"/>
        <w:ind w:firstLine="709"/>
        <w:jc w:val="both"/>
        <w:rPr>
          <w:rStyle w:val="FontStyle14"/>
          <w:sz w:val="28"/>
          <w:szCs w:val="28"/>
        </w:rPr>
      </w:pPr>
      <w:r w:rsidRPr="0041268A">
        <w:rPr>
          <w:rStyle w:val="FontStyle14"/>
          <w:sz w:val="28"/>
          <w:szCs w:val="28"/>
        </w:rPr>
        <w:t xml:space="preserve">В целях повышения эффективности реализации государственных программ в последующие периоды рекомендуется: </w:t>
      </w:r>
    </w:p>
    <w:p w:rsidR="0041268A" w:rsidRPr="0041268A" w:rsidRDefault="0041268A" w:rsidP="0041268A">
      <w:pPr>
        <w:numPr>
          <w:ilvl w:val="0"/>
          <w:numId w:val="17"/>
        </w:numPr>
        <w:tabs>
          <w:tab w:val="left" w:pos="1134"/>
        </w:tabs>
        <w:ind w:left="0" w:firstLine="680"/>
        <w:rPr>
          <w:rStyle w:val="FontStyle14"/>
          <w:sz w:val="28"/>
          <w:szCs w:val="28"/>
        </w:rPr>
      </w:pPr>
      <w:r w:rsidRPr="0041268A">
        <w:rPr>
          <w:rStyle w:val="FontStyle14"/>
          <w:sz w:val="28"/>
          <w:szCs w:val="28"/>
        </w:rPr>
        <w:t>Исполнительным органам государственной власти Мурманской области:</w:t>
      </w:r>
    </w:p>
    <w:p w:rsidR="0041268A" w:rsidRPr="0041268A" w:rsidRDefault="0041268A" w:rsidP="0041268A">
      <w:pPr>
        <w:numPr>
          <w:ilvl w:val="1"/>
          <w:numId w:val="17"/>
        </w:numPr>
        <w:tabs>
          <w:tab w:val="left" w:pos="1276"/>
        </w:tabs>
        <w:ind w:left="0" w:firstLine="680"/>
        <w:rPr>
          <w:rStyle w:val="FontStyle14"/>
          <w:sz w:val="28"/>
          <w:szCs w:val="28"/>
        </w:rPr>
      </w:pPr>
      <w:r w:rsidRPr="0041268A">
        <w:rPr>
          <w:rStyle w:val="FontStyle14"/>
          <w:sz w:val="28"/>
          <w:szCs w:val="28"/>
        </w:rPr>
        <w:t>Учесть результаты реализации государственных программ Мурманской области, завершенных в 2020 году, при реализации и корректировке утвержденных с 2021 года новых государственных программ Мурманской области, а также при утверждении государственной программы Мурманской области «Транспортная система» с периодом реализации 2023-2025 годы.</w:t>
      </w:r>
    </w:p>
    <w:p w:rsidR="0041268A" w:rsidRPr="0041268A" w:rsidRDefault="0041268A" w:rsidP="0041268A">
      <w:pPr>
        <w:numPr>
          <w:ilvl w:val="1"/>
          <w:numId w:val="17"/>
        </w:numPr>
        <w:tabs>
          <w:tab w:val="left" w:pos="1276"/>
        </w:tabs>
        <w:autoSpaceDE w:val="0"/>
        <w:autoSpaceDN w:val="0"/>
        <w:adjustRightInd w:val="0"/>
        <w:ind w:left="0" w:firstLine="680"/>
        <w:rPr>
          <w:rStyle w:val="FontStyle14"/>
          <w:rFonts w:cstheme="minorBidi"/>
          <w:bCs/>
          <w:sz w:val="28"/>
          <w:szCs w:val="28"/>
        </w:rPr>
      </w:pPr>
      <w:r w:rsidRPr="0041268A">
        <w:rPr>
          <w:rStyle w:val="FontStyle14"/>
          <w:sz w:val="28"/>
          <w:szCs w:val="28"/>
        </w:rPr>
        <w:t>При корректировке действующих государственных программ, а также</w:t>
      </w:r>
      <w:r w:rsidR="00AB0DAE">
        <w:rPr>
          <w:rStyle w:val="FontStyle14"/>
          <w:sz w:val="28"/>
          <w:szCs w:val="28"/>
        </w:rPr>
        <w:t xml:space="preserve"> при включении или корректировке</w:t>
      </w:r>
      <w:r w:rsidRPr="0041268A">
        <w:rPr>
          <w:rStyle w:val="FontStyle14"/>
          <w:sz w:val="28"/>
          <w:szCs w:val="28"/>
        </w:rPr>
        <w:t xml:space="preserve"> в проект государственной программы Мурманской области «Транспортная система» на 2023-2025 годы показателей учесть выявленные факты отсутствия влияния мероприятий на значения показателей, а также недостаточность предусмотренных мер для достижения целевых значений показателей </w:t>
      </w:r>
      <w:r w:rsidRPr="0041268A">
        <w:rPr>
          <w:rStyle w:val="FontStyle14"/>
          <w:i/>
          <w:sz w:val="28"/>
          <w:szCs w:val="28"/>
        </w:rPr>
        <w:t>(отсутствие корреляции коэффициентов К1 и К3)</w:t>
      </w:r>
      <w:r w:rsidRPr="0041268A">
        <w:rPr>
          <w:rStyle w:val="FontStyle14"/>
          <w:sz w:val="28"/>
          <w:szCs w:val="28"/>
        </w:rPr>
        <w:t>.</w:t>
      </w:r>
    </w:p>
    <w:p w:rsidR="0041268A" w:rsidRPr="0041268A" w:rsidRDefault="0041268A" w:rsidP="0041268A">
      <w:pPr>
        <w:numPr>
          <w:ilvl w:val="1"/>
          <w:numId w:val="17"/>
        </w:numPr>
        <w:tabs>
          <w:tab w:val="left" w:pos="1276"/>
        </w:tabs>
        <w:autoSpaceDE w:val="0"/>
        <w:autoSpaceDN w:val="0"/>
        <w:adjustRightInd w:val="0"/>
        <w:ind w:left="0" w:firstLine="680"/>
        <w:rPr>
          <w:bCs/>
          <w:szCs w:val="28"/>
        </w:rPr>
      </w:pPr>
      <w:r w:rsidRPr="0041268A">
        <w:rPr>
          <w:bCs/>
          <w:szCs w:val="28"/>
        </w:rPr>
        <w:t>Обеспечить учет рисков неблагоприятного развития эпидемиологической ситуации при планировании значений показателей, корректное планирование объемов финансирования в увязке с ожидаемыми результатами реализации мероприятий.</w:t>
      </w:r>
    </w:p>
    <w:p w:rsidR="0041268A" w:rsidRPr="0041268A" w:rsidRDefault="0041268A" w:rsidP="0041268A">
      <w:pPr>
        <w:numPr>
          <w:ilvl w:val="1"/>
          <w:numId w:val="17"/>
        </w:numPr>
        <w:tabs>
          <w:tab w:val="left" w:pos="1276"/>
        </w:tabs>
        <w:autoSpaceDE w:val="0"/>
        <w:autoSpaceDN w:val="0"/>
        <w:adjustRightInd w:val="0"/>
        <w:ind w:left="0" w:firstLine="680"/>
        <w:rPr>
          <w:bCs/>
          <w:szCs w:val="28"/>
        </w:rPr>
      </w:pPr>
      <w:r w:rsidRPr="0041268A">
        <w:rPr>
          <w:bCs/>
          <w:szCs w:val="28"/>
        </w:rPr>
        <w:t>Осуществлять регулярный мониторинг реализации государственных программ с целью обеспечения своевременности необходимых корректирующих действий.</w:t>
      </w:r>
    </w:p>
    <w:p w:rsidR="0041268A" w:rsidRPr="0041268A" w:rsidRDefault="0041268A" w:rsidP="0041268A">
      <w:pPr>
        <w:tabs>
          <w:tab w:val="left" w:pos="1276"/>
        </w:tabs>
        <w:ind w:firstLine="680"/>
        <w:rPr>
          <w:rStyle w:val="FontStyle14"/>
          <w:sz w:val="28"/>
          <w:szCs w:val="28"/>
        </w:rPr>
      </w:pPr>
      <w:r w:rsidRPr="0041268A">
        <w:rPr>
          <w:rStyle w:val="FontStyle14"/>
          <w:sz w:val="28"/>
          <w:szCs w:val="28"/>
        </w:rPr>
        <w:t>1.5. Усилить контроль за своевременностью и качеством выполнения мероприятий в рамках государственных программ органами местного самоуправления, подведомственными организациями, исполнителями по контрактам.</w:t>
      </w:r>
    </w:p>
    <w:p w:rsidR="0041268A" w:rsidRPr="0041268A" w:rsidRDefault="0041268A" w:rsidP="0041268A">
      <w:pPr>
        <w:tabs>
          <w:tab w:val="left" w:pos="1276"/>
        </w:tabs>
        <w:ind w:firstLine="680"/>
        <w:rPr>
          <w:rStyle w:val="FontStyle14"/>
          <w:sz w:val="28"/>
          <w:szCs w:val="28"/>
        </w:rPr>
      </w:pPr>
      <w:r w:rsidRPr="0041268A">
        <w:rPr>
          <w:rStyle w:val="FontStyle14"/>
          <w:sz w:val="28"/>
          <w:szCs w:val="28"/>
        </w:rPr>
        <w:t>1.6. При включении в государственные программы Мурманской областиобъектов капитального строительства и установлении плановых объемов финансирования по объектам учитывать сроки подготовки и проведения конкурсных процедур по отбору исполнителей и подрядчиков, а также возможность выполнения запланированных объемов работ в установленные сроки.</w:t>
      </w:r>
    </w:p>
    <w:p w:rsidR="0041268A" w:rsidRPr="00F63C87" w:rsidRDefault="0041268A" w:rsidP="0041268A">
      <w:pPr>
        <w:autoSpaceDE w:val="0"/>
        <w:autoSpaceDN w:val="0"/>
        <w:adjustRightInd w:val="0"/>
        <w:ind w:firstLine="680"/>
        <w:rPr>
          <w:rStyle w:val="FontStyle14"/>
          <w:szCs w:val="28"/>
        </w:rPr>
      </w:pPr>
      <w:r w:rsidRPr="0041268A">
        <w:rPr>
          <w:rStyle w:val="FontStyle14"/>
          <w:sz w:val="28"/>
          <w:szCs w:val="28"/>
        </w:rPr>
        <w:t xml:space="preserve">1.7. Обеспечить корректировку государственных программ Мурманской области в целях реализации </w:t>
      </w:r>
      <w:r w:rsidRPr="0041268A">
        <w:rPr>
          <w:szCs w:val="28"/>
        </w:rPr>
        <w:t>Послания Прези</w:t>
      </w:r>
      <w:r w:rsidR="00AB0DAE">
        <w:rPr>
          <w:szCs w:val="28"/>
        </w:rPr>
        <w:t>дента Российской Федерации В.В. </w:t>
      </w:r>
      <w:r w:rsidRPr="0041268A">
        <w:rPr>
          <w:szCs w:val="28"/>
        </w:rPr>
        <w:t>Путина Федеральному Собранию Российской Федерации от 21.04.2021 года на территории Мурманской области.</w:t>
      </w:r>
    </w:p>
    <w:p w:rsidR="000F051C" w:rsidRPr="009E3F72" w:rsidRDefault="00E77670" w:rsidP="000D6C97">
      <w:pPr>
        <w:pStyle w:val="ConsPlusCell"/>
        <w:numPr>
          <w:ilvl w:val="0"/>
          <w:numId w:val="17"/>
        </w:numPr>
        <w:tabs>
          <w:tab w:val="left" w:pos="1134"/>
        </w:tabs>
        <w:ind w:left="0" w:firstLine="709"/>
        <w:jc w:val="both"/>
        <w:rPr>
          <w:rStyle w:val="FontStyle14"/>
          <w:sz w:val="28"/>
          <w:szCs w:val="28"/>
        </w:rPr>
      </w:pPr>
      <w:r w:rsidRPr="009E3F72">
        <w:rPr>
          <w:rStyle w:val="FontStyle14"/>
          <w:sz w:val="28"/>
          <w:szCs w:val="28"/>
        </w:rPr>
        <w:t xml:space="preserve">Министерству строительства </w:t>
      </w:r>
      <w:r w:rsidRPr="009E3F72">
        <w:t>Мурманской области у</w:t>
      </w:r>
      <w:r w:rsidR="000F051C" w:rsidRPr="009E3F72">
        <w:rPr>
          <w:rStyle w:val="FontStyle14"/>
          <w:sz w:val="28"/>
          <w:szCs w:val="28"/>
        </w:rPr>
        <w:t>силить контроль за ходом работ на объектах капитального строительства, включенных в государственные программы</w:t>
      </w:r>
      <w:r w:rsidR="00CA7E38" w:rsidRPr="009E3F72">
        <w:t xml:space="preserve"> Мурманской области</w:t>
      </w:r>
      <w:r w:rsidR="000F051C" w:rsidRPr="009E3F72">
        <w:rPr>
          <w:rStyle w:val="FontStyle14"/>
          <w:sz w:val="28"/>
          <w:szCs w:val="28"/>
        </w:rPr>
        <w:t>.</w:t>
      </w:r>
    </w:p>
    <w:p w:rsidR="000F051C" w:rsidRPr="00A741C8" w:rsidRDefault="00E77670" w:rsidP="00A741C8">
      <w:pPr>
        <w:numPr>
          <w:ilvl w:val="0"/>
          <w:numId w:val="17"/>
        </w:numPr>
        <w:tabs>
          <w:tab w:val="left" w:pos="1134"/>
        </w:tabs>
        <w:ind w:left="0" w:firstLine="709"/>
        <w:rPr>
          <w:rStyle w:val="FontStyle14"/>
          <w:sz w:val="28"/>
          <w:szCs w:val="28"/>
        </w:rPr>
      </w:pPr>
      <w:r w:rsidRPr="009E3F72">
        <w:rPr>
          <w:rStyle w:val="FontStyle14"/>
          <w:sz w:val="28"/>
          <w:szCs w:val="28"/>
        </w:rPr>
        <w:lastRenderedPageBreak/>
        <w:t xml:space="preserve">Министерству строительства </w:t>
      </w:r>
      <w:r w:rsidRPr="0041268A">
        <w:rPr>
          <w:szCs w:val="28"/>
        </w:rPr>
        <w:t>Мурманской области</w:t>
      </w:r>
      <w:r w:rsidR="002930E7" w:rsidRPr="0041268A">
        <w:rPr>
          <w:szCs w:val="28"/>
        </w:rPr>
        <w:t xml:space="preserve">, Министерству </w:t>
      </w:r>
      <w:r w:rsidR="00A741C8" w:rsidRPr="0041268A">
        <w:rPr>
          <w:szCs w:val="28"/>
        </w:rPr>
        <w:t>культуры</w:t>
      </w:r>
      <w:r w:rsidR="00936963" w:rsidRPr="0041268A">
        <w:rPr>
          <w:szCs w:val="28"/>
        </w:rPr>
        <w:t xml:space="preserve"> Мурманской области </w:t>
      </w:r>
      <w:r w:rsidR="002930E7" w:rsidRPr="0041268A">
        <w:rPr>
          <w:szCs w:val="28"/>
        </w:rPr>
        <w:t>п</w:t>
      </w:r>
      <w:r w:rsidR="000F051C" w:rsidRPr="0041268A">
        <w:t>ринять</w:t>
      </w:r>
      <w:r w:rsidR="000F051C" w:rsidRPr="00A741C8">
        <w:rPr>
          <w:rStyle w:val="FontStyle14"/>
          <w:sz w:val="28"/>
          <w:szCs w:val="28"/>
        </w:rPr>
        <w:t xml:space="preserve"> меры по повышению эффективности реализации государственн</w:t>
      </w:r>
      <w:r w:rsidR="002930E7" w:rsidRPr="00A741C8">
        <w:rPr>
          <w:rStyle w:val="FontStyle14"/>
          <w:sz w:val="28"/>
          <w:szCs w:val="28"/>
        </w:rPr>
        <w:t>ых программ Мурманской области, в отношении которых они являются ответственными исполнителями.</w:t>
      </w:r>
    </w:p>
    <w:p w:rsidR="00600741" w:rsidRPr="00FF18A9" w:rsidRDefault="0035595D" w:rsidP="0035595D">
      <w:pPr>
        <w:pStyle w:val="ConsPlusCell"/>
        <w:tabs>
          <w:tab w:val="left" w:pos="1134"/>
        </w:tabs>
        <w:jc w:val="center"/>
        <w:rPr>
          <w:rStyle w:val="FontStyle14"/>
          <w:sz w:val="28"/>
          <w:szCs w:val="28"/>
        </w:rPr>
      </w:pPr>
      <w:r w:rsidRPr="00FF18A9">
        <w:rPr>
          <w:rStyle w:val="FontStyle14"/>
          <w:sz w:val="28"/>
          <w:szCs w:val="28"/>
        </w:rPr>
        <w:t>_____________</w:t>
      </w:r>
    </w:p>
    <w:p w:rsidR="00600741" w:rsidRDefault="00600741"/>
    <w:p w:rsidR="0035595D" w:rsidRPr="005A5A01" w:rsidRDefault="0035595D" w:rsidP="00600741">
      <w:pPr>
        <w:pStyle w:val="ConsPlusCell"/>
        <w:tabs>
          <w:tab w:val="left" w:pos="1134"/>
        </w:tabs>
        <w:jc w:val="center"/>
        <w:rPr>
          <w:rStyle w:val="FontStyle14"/>
          <w:sz w:val="28"/>
          <w:szCs w:val="28"/>
        </w:rPr>
      </w:pPr>
    </w:p>
    <w:sectPr w:rsidR="0035595D" w:rsidRPr="005A5A01" w:rsidSect="00EC205D">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3508" w:rsidRDefault="00063508" w:rsidP="009C670B">
      <w:r>
        <w:separator/>
      </w:r>
    </w:p>
  </w:endnote>
  <w:endnote w:type="continuationSeparator" w:id="1">
    <w:p w:rsidR="00063508" w:rsidRDefault="00063508" w:rsidP="009C67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3508" w:rsidRDefault="00063508" w:rsidP="009C670B">
      <w:r>
        <w:separator/>
      </w:r>
    </w:p>
  </w:footnote>
  <w:footnote w:type="continuationSeparator" w:id="1">
    <w:p w:rsidR="00063508" w:rsidRDefault="00063508" w:rsidP="009C67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508" w:rsidRPr="00CD51CC" w:rsidRDefault="00063508" w:rsidP="008D2A7E">
    <w:pPr>
      <w:pStyle w:val="af5"/>
      <w:ind w:firstLine="0"/>
      <w:jc w:val="center"/>
      <w:rPr>
        <w:sz w:val="20"/>
      </w:rPr>
    </w:pPr>
    <w:r w:rsidRPr="00CD51CC">
      <w:rPr>
        <w:sz w:val="20"/>
      </w:rPr>
      <w:fldChar w:fldCharType="begin"/>
    </w:r>
    <w:r w:rsidRPr="00CD51CC">
      <w:rPr>
        <w:sz w:val="20"/>
      </w:rPr>
      <w:instrText>PAGE   \* MERGEFORMAT</w:instrText>
    </w:r>
    <w:r w:rsidRPr="00CD51CC">
      <w:rPr>
        <w:sz w:val="20"/>
      </w:rPr>
      <w:fldChar w:fldCharType="separate"/>
    </w:r>
    <w:r w:rsidR="002E27FB">
      <w:rPr>
        <w:noProof/>
        <w:sz w:val="20"/>
      </w:rPr>
      <w:t>2</w:t>
    </w:r>
    <w:r w:rsidRPr="00CD51CC">
      <w:rPr>
        <w:sz w:val="20"/>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508" w:rsidRPr="00CD51CC" w:rsidRDefault="00063508" w:rsidP="008D2A7E">
    <w:pPr>
      <w:pStyle w:val="af5"/>
      <w:ind w:firstLine="0"/>
      <w:jc w:val="center"/>
      <w:rPr>
        <w:sz w:val="20"/>
      </w:rPr>
    </w:pPr>
    <w:r w:rsidRPr="00CD51CC">
      <w:rPr>
        <w:sz w:val="20"/>
      </w:rPr>
      <w:fldChar w:fldCharType="begin"/>
    </w:r>
    <w:r w:rsidRPr="00CD51CC">
      <w:rPr>
        <w:sz w:val="20"/>
      </w:rPr>
      <w:instrText>PAGE   \* MERGEFORMAT</w:instrText>
    </w:r>
    <w:r w:rsidRPr="00CD51CC">
      <w:rPr>
        <w:sz w:val="20"/>
      </w:rPr>
      <w:fldChar w:fldCharType="separate"/>
    </w:r>
    <w:r w:rsidR="002E27FB">
      <w:rPr>
        <w:noProof/>
        <w:sz w:val="20"/>
      </w:rPr>
      <w:t>9</w:t>
    </w:r>
    <w:r w:rsidRPr="00CD51CC">
      <w:rPr>
        <w:sz w:val="2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02404"/>
    <w:multiLevelType w:val="hybridMultilevel"/>
    <w:tmpl w:val="EECA7440"/>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9656B66"/>
    <w:multiLevelType w:val="hybridMultilevel"/>
    <w:tmpl w:val="F9082E5C"/>
    <w:lvl w:ilvl="0" w:tplc="EB22F734">
      <w:start w:val="1"/>
      <w:numFmt w:val="bullet"/>
      <w:lvlText w:val="-"/>
      <w:lvlJc w:val="left"/>
      <w:pPr>
        <w:ind w:left="360" w:hanging="360"/>
      </w:pPr>
      <w:rPr>
        <w:rFonts w:ascii="SimSun" w:eastAsia="SimSun" w:hAnsi="SimSun" w:hint="eastAsia"/>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296B2518"/>
    <w:multiLevelType w:val="hybridMultilevel"/>
    <w:tmpl w:val="9DC4F1E8"/>
    <w:lvl w:ilvl="0" w:tplc="48EE260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
    <w:nsid w:val="2FA641E7"/>
    <w:multiLevelType w:val="hybridMultilevel"/>
    <w:tmpl w:val="EBCEE28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31D02BCD"/>
    <w:multiLevelType w:val="hybridMultilevel"/>
    <w:tmpl w:val="4650B914"/>
    <w:lvl w:ilvl="0" w:tplc="48EE260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500584C"/>
    <w:multiLevelType w:val="hybridMultilevel"/>
    <w:tmpl w:val="3D00BCCC"/>
    <w:lvl w:ilvl="0" w:tplc="EF1A39B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4E9B587D"/>
    <w:multiLevelType w:val="hybridMultilevel"/>
    <w:tmpl w:val="1388B00A"/>
    <w:lvl w:ilvl="0" w:tplc="48EE2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DBE1F03"/>
    <w:multiLevelType w:val="multilevel"/>
    <w:tmpl w:val="0419001F"/>
    <w:lvl w:ilvl="0">
      <w:start w:val="1"/>
      <w:numFmt w:val="decimal"/>
      <w:lvlText w:val="%1."/>
      <w:lvlJc w:val="left"/>
      <w:pPr>
        <w:ind w:left="928"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5E1F1B82"/>
    <w:multiLevelType w:val="hybridMultilevel"/>
    <w:tmpl w:val="1E0C226A"/>
    <w:lvl w:ilvl="0" w:tplc="EF1A39B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E3153FA"/>
    <w:multiLevelType w:val="hybridMultilevel"/>
    <w:tmpl w:val="BB08954E"/>
    <w:lvl w:ilvl="0" w:tplc="EF1A39B0">
      <w:start w:val="1"/>
      <w:numFmt w:val="bullet"/>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0">
    <w:nsid w:val="66B27F49"/>
    <w:multiLevelType w:val="hybridMultilevel"/>
    <w:tmpl w:val="E9B453BC"/>
    <w:lvl w:ilvl="0" w:tplc="EF1A39B0">
      <w:start w:val="1"/>
      <w:numFmt w:val="bullet"/>
      <w:lvlText w:val="-"/>
      <w:lvlJc w:val="left"/>
      <w:pPr>
        <w:ind w:left="1353" w:hanging="360"/>
      </w:pPr>
      <w:rPr>
        <w:rFonts w:ascii="Times New Roman" w:hAnsi="Times New Roman" w:cs="Times New Roman"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1">
    <w:nsid w:val="69885437"/>
    <w:multiLevelType w:val="hybridMultilevel"/>
    <w:tmpl w:val="13D655FC"/>
    <w:lvl w:ilvl="0" w:tplc="48EE2602">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2">
    <w:nsid w:val="6C4572B2"/>
    <w:multiLevelType w:val="hybridMultilevel"/>
    <w:tmpl w:val="C6089602"/>
    <w:lvl w:ilvl="0" w:tplc="48EE260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FDB7295"/>
    <w:multiLevelType w:val="hybridMultilevel"/>
    <w:tmpl w:val="0A3A92A8"/>
    <w:lvl w:ilvl="0" w:tplc="EF1A39B0">
      <w:start w:val="1"/>
      <w:numFmt w:val="bullet"/>
      <w:lvlText w:val="-"/>
      <w:lvlJc w:val="left"/>
      <w:pPr>
        <w:ind w:left="1211"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9811E81"/>
    <w:multiLevelType w:val="hybridMultilevel"/>
    <w:tmpl w:val="FEFEF742"/>
    <w:lvl w:ilvl="0" w:tplc="48EE260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7FB754CA"/>
    <w:multiLevelType w:val="hybridMultilevel"/>
    <w:tmpl w:val="1D8859FA"/>
    <w:lvl w:ilvl="0" w:tplc="EB22F734">
      <w:start w:val="1"/>
      <w:numFmt w:val="bullet"/>
      <w:lvlText w:val="-"/>
      <w:lvlJc w:val="left"/>
      <w:pPr>
        <w:ind w:left="1502" w:hanging="360"/>
      </w:pPr>
      <w:rPr>
        <w:rFonts w:ascii="SimSun" w:eastAsia="SimSun" w:hAnsi="SimSun" w:hint="eastAsia"/>
      </w:rPr>
    </w:lvl>
    <w:lvl w:ilvl="1" w:tplc="04190003" w:tentative="1">
      <w:start w:val="1"/>
      <w:numFmt w:val="bullet"/>
      <w:lvlText w:val="o"/>
      <w:lvlJc w:val="left"/>
      <w:pPr>
        <w:ind w:left="2222" w:hanging="360"/>
      </w:pPr>
      <w:rPr>
        <w:rFonts w:ascii="Courier New" w:hAnsi="Courier New" w:cs="Courier New" w:hint="default"/>
      </w:rPr>
    </w:lvl>
    <w:lvl w:ilvl="2" w:tplc="04190005" w:tentative="1">
      <w:start w:val="1"/>
      <w:numFmt w:val="bullet"/>
      <w:lvlText w:val=""/>
      <w:lvlJc w:val="left"/>
      <w:pPr>
        <w:ind w:left="2942" w:hanging="360"/>
      </w:pPr>
      <w:rPr>
        <w:rFonts w:ascii="Wingdings" w:hAnsi="Wingdings" w:hint="default"/>
      </w:rPr>
    </w:lvl>
    <w:lvl w:ilvl="3" w:tplc="04190001" w:tentative="1">
      <w:start w:val="1"/>
      <w:numFmt w:val="bullet"/>
      <w:lvlText w:val=""/>
      <w:lvlJc w:val="left"/>
      <w:pPr>
        <w:ind w:left="3662" w:hanging="360"/>
      </w:pPr>
      <w:rPr>
        <w:rFonts w:ascii="Symbol" w:hAnsi="Symbol" w:hint="default"/>
      </w:rPr>
    </w:lvl>
    <w:lvl w:ilvl="4" w:tplc="04190003" w:tentative="1">
      <w:start w:val="1"/>
      <w:numFmt w:val="bullet"/>
      <w:lvlText w:val="o"/>
      <w:lvlJc w:val="left"/>
      <w:pPr>
        <w:ind w:left="4382" w:hanging="360"/>
      </w:pPr>
      <w:rPr>
        <w:rFonts w:ascii="Courier New" w:hAnsi="Courier New" w:cs="Courier New" w:hint="default"/>
      </w:rPr>
    </w:lvl>
    <w:lvl w:ilvl="5" w:tplc="04190005" w:tentative="1">
      <w:start w:val="1"/>
      <w:numFmt w:val="bullet"/>
      <w:lvlText w:val=""/>
      <w:lvlJc w:val="left"/>
      <w:pPr>
        <w:ind w:left="5102" w:hanging="360"/>
      </w:pPr>
      <w:rPr>
        <w:rFonts w:ascii="Wingdings" w:hAnsi="Wingdings" w:hint="default"/>
      </w:rPr>
    </w:lvl>
    <w:lvl w:ilvl="6" w:tplc="04190001" w:tentative="1">
      <w:start w:val="1"/>
      <w:numFmt w:val="bullet"/>
      <w:lvlText w:val=""/>
      <w:lvlJc w:val="left"/>
      <w:pPr>
        <w:ind w:left="5822" w:hanging="360"/>
      </w:pPr>
      <w:rPr>
        <w:rFonts w:ascii="Symbol" w:hAnsi="Symbol" w:hint="default"/>
      </w:rPr>
    </w:lvl>
    <w:lvl w:ilvl="7" w:tplc="04190003" w:tentative="1">
      <w:start w:val="1"/>
      <w:numFmt w:val="bullet"/>
      <w:lvlText w:val="o"/>
      <w:lvlJc w:val="left"/>
      <w:pPr>
        <w:ind w:left="6542" w:hanging="360"/>
      </w:pPr>
      <w:rPr>
        <w:rFonts w:ascii="Courier New" w:hAnsi="Courier New" w:cs="Courier New" w:hint="default"/>
      </w:rPr>
    </w:lvl>
    <w:lvl w:ilvl="8" w:tplc="04190005" w:tentative="1">
      <w:start w:val="1"/>
      <w:numFmt w:val="bullet"/>
      <w:lvlText w:val=""/>
      <w:lvlJc w:val="left"/>
      <w:pPr>
        <w:ind w:left="7262" w:hanging="360"/>
      </w:pPr>
      <w:rPr>
        <w:rFonts w:ascii="Wingdings" w:hAnsi="Wingdings" w:hint="default"/>
      </w:rPr>
    </w:lvl>
  </w:abstractNum>
  <w:num w:numId="1">
    <w:abstractNumId w:val="2"/>
  </w:num>
  <w:num w:numId="2">
    <w:abstractNumId w:val="6"/>
  </w:num>
  <w:num w:numId="3">
    <w:abstractNumId w:val="4"/>
  </w:num>
  <w:num w:numId="4">
    <w:abstractNumId w:val="10"/>
  </w:num>
  <w:num w:numId="5">
    <w:abstractNumId w:val="10"/>
  </w:num>
  <w:num w:numId="6">
    <w:abstractNumId w:val="8"/>
  </w:num>
  <w:num w:numId="7">
    <w:abstractNumId w:val="5"/>
  </w:num>
  <w:num w:numId="8">
    <w:abstractNumId w:val="11"/>
  </w:num>
  <w:num w:numId="9">
    <w:abstractNumId w:val="12"/>
  </w:num>
  <w:num w:numId="10">
    <w:abstractNumId w:val="14"/>
  </w:num>
  <w:num w:numId="11">
    <w:abstractNumId w:val="3"/>
  </w:num>
  <w:num w:numId="12">
    <w:abstractNumId w:val="0"/>
  </w:num>
  <w:num w:numId="13">
    <w:abstractNumId w:val="13"/>
  </w:num>
  <w:num w:numId="14">
    <w:abstractNumId w:val="9"/>
  </w:num>
  <w:num w:numId="15">
    <w:abstractNumId w:val="12"/>
  </w:num>
  <w:num w:numId="16">
    <w:abstractNumId w:val="1"/>
  </w:num>
  <w:num w:numId="17">
    <w:abstractNumId w:val="7"/>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1"/>
  <w:proofState w:spelling="clean"/>
  <w:defaultTabStop w:val="708"/>
  <w:characterSpacingControl w:val="doNotCompress"/>
  <w:footnotePr>
    <w:footnote w:id="0"/>
    <w:footnote w:id="1"/>
  </w:footnotePr>
  <w:endnotePr>
    <w:endnote w:id="0"/>
    <w:endnote w:id="1"/>
  </w:endnotePr>
  <w:compat/>
  <w:rsids>
    <w:rsidRoot w:val="009C670B"/>
    <w:rsid w:val="0000353B"/>
    <w:rsid w:val="00004BCE"/>
    <w:rsid w:val="000053CA"/>
    <w:rsid w:val="00006FB7"/>
    <w:rsid w:val="00007768"/>
    <w:rsid w:val="00021306"/>
    <w:rsid w:val="00026CE8"/>
    <w:rsid w:val="00035469"/>
    <w:rsid w:val="0003696C"/>
    <w:rsid w:val="00040E39"/>
    <w:rsid w:val="0004271F"/>
    <w:rsid w:val="00042A8A"/>
    <w:rsid w:val="0004357D"/>
    <w:rsid w:val="0004405C"/>
    <w:rsid w:val="000454F6"/>
    <w:rsid w:val="00050B15"/>
    <w:rsid w:val="00052625"/>
    <w:rsid w:val="00052ADF"/>
    <w:rsid w:val="00054CE7"/>
    <w:rsid w:val="00063508"/>
    <w:rsid w:val="0006377F"/>
    <w:rsid w:val="00066CF8"/>
    <w:rsid w:val="00072FFA"/>
    <w:rsid w:val="000744BF"/>
    <w:rsid w:val="000750BC"/>
    <w:rsid w:val="000756AB"/>
    <w:rsid w:val="00075EF4"/>
    <w:rsid w:val="000844D1"/>
    <w:rsid w:val="000857A2"/>
    <w:rsid w:val="00090C0F"/>
    <w:rsid w:val="00092ADC"/>
    <w:rsid w:val="00093198"/>
    <w:rsid w:val="00096B18"/>
    <w:rsid w:val="000A123F"/>
    <w:rsid w:val="000C166C"/>
    <w:rsid w:val="000C1919"/>
    <w:rsid w:val="000C3D4D"/>
    <w:rsid w:val="000C4690"/>
    <w:rsid w:val="000C46D5"/>
    <w:rsid w:val="000C57FD"/>
    <w:rsid w:val="000C6492"/>
    <w:rsid w:val="000D06DE"/>
    <w:rsid w:val="000D07E4"/>
    <w:rsid w:val="000D1687"/>
    <w:rsid w:val="000D1D2C"/>
    <w:rsid w:val="000D2EEA"/>
    <w:rsid w:val="000D4E20"/>
    <w:rsid w:val="000D579D"/>
    <w:rsid w:val="000D6C97"/>
    <w:rsid w:val="000D7C80"/>
    <w:rsid w:val="000E1366"/>
    <w:rsid w:val="000E5AD0"/>
    <w:rsid w:val="000F051C"/>
    <w:rsid w:val="000F166E"/>
    <w:rsid w:val="000F218D"/>
    <w:rsid w:val="00100C78"/>
    <w:rsid w:val="00103CC4"/>
    <w:rsid w:val="0010420F"/>
    <w:rsid w:val="0010733C"/>
    <w:rsid w:val="001100C3"/>
    <w:rsid w:val="00110B85"/>
    <w:rsid w:val="00111A80"/>
    <w:rsid w:val="00113018"/>
    <w:rsid w:val="0011585F"/>
    <w:rsid w:val="001177F3"/>
    <w:rsid w:val="001303A7"/>
    <w:rsid w:val="0013062C"/>
    <w:rsid w:val="001317ED"/>
    <w:rsid w:val="00135D0B"/>
    <w:rsid w:val="00140E65"/>
    <w:rsid w:val="00145BB5"/>
    <w:rsid w:val="00145ED9"/>
    <w:rsid w:val="00147367"/>
    <w:rsid w:val="00151A02"/>
    <w:rsid w:val="00153AE8"/>
    <w:rsid w:val="00157F76"/>
    <w:rsid w:val="001606E3"/>
    <w:rsid w:val="00162BAB"/>
    <w:rsid w:val="001634C0"/>
    <w:rsid w:val="001642B7"/>
    <w:rsid w:val="0016619B"/>
    <w:rsid w:val="00167178"/>
    <w:rsid w:val="00173168"/>
    <w:rsid w:val="00173A4C"/>
    <w:rsid w:val="001801E1"/>
    <w:rsid w:val="00181945"/>
    <w:rsid w:val="001833B1"/>
    <w:rsid w:val="0018421F"/>
    <w:rsid w:val="001849D4"/>
    <w:rsid w:val="001865E2"/>
    <w:rsid w:val="00187663"/>
    <w:rsid w:val="001919EC"/>
    <w:rsid w:val="001A3812"/>
    <w:rsid w:val="001A3D88"/>
    <w:rsid w:val="001A42C3"/>
    <w:rsid w:val="001A6BB1"/>
    <w:rsid w:val="001B0826"/>
    <w:rsid w:val="001B2DE8"/>
    <w:rsid w:val="001B4B37"/>
    <w:rsid w:val="001B511A"/>
    <w:rsid w:val="001B5AD9"/>
    <w:rsid w:val="001C1810"/>
    <w:rsid w:val="001C19C7"/>
    <w:rsid w:val="001C3429"/>
    <w:rsid w:val="001C3D19"/>
    <w:rsid w:val="001D0E06"/>
    <w:rsid w:val="001D40BA"/>
    <w:rsid w:val="001D760D"/>
    <w:rsid w:val="001E213B"/>
    <w:rsid w:val="001E2CB8"/>
    <w:rsid w:val="001E53B3"/>
    <w:rsid w:val="001E57B1"/>
    <w:rsid w:val="001E6325"/>
    <w:rsid w:val="001E7185"/>
    <w:rsid w:val="001F0870"/>
    <w:rsid w:val="001F5BBE"/>
    <w:rsid w:val="00201B4E"/>
    <w:rsid w:val="00201D9B"/>
    <w:rsid w:val="0020271B"/>
    <w:rsid w:val="00202D3B"/>
    <w:rsid w:val="00205D63"/>
    <w:rsid w:val="002105E3"/>
    <w:rsid w:val="00212D1E"/>
    <w:rsid w:val="002227AE"/>
    <w:rsid w:val="002271A6"/>
    <w:rsid w:val="002308BD"/>
    <w:rsid w:val="002354D2"/>
    <w:rsid w:val="00236196"/>
    <w:rsid w:val="00241477"/>
    <w:rsid w:val="00246FC7"/>
    <w:rsid w:val="00252F01"/>
    <w:rsid w:val="00255A13"/>
    <w:rsid w:val="00256E68"/>
    <w:rsid w:val="00264419"/>
    <w:rsid w:val="00265124"/>
    <w:rsid w:val="002747BC"/>
    <w:rsid w:val="002802A9"/>
    <w:rsid w:val="00280567"/>
    <w:rsid w:val="00284B4F"/>
    <w:rsid w:val="002930E7"/>
    <w:rsid w:val="00293ABB"/>
    <w:rsid w:val="002B26C5"/>
    <w:rsid w:val="002B7798"/>
    <w:rsid w:val="002C3173"/>
    <w:rsid w:val="002C4166"/>
    <w:rsid w:val="002D2008"/>
    <w:rsid w:val="002D5D86"/>
    <w:rsid w:val="002E1044"/>
    <w:rsid w:val="002E27FB"/>
    <w:rsid w:val="002E4E0C"/>
    <w:rsid w:val="002F00D1"/>
    <w:rsid w:val="002F3DAF"/>
    <w:rsid w:val="002F5E64"/>
    <w:rsid w:val="002F7133"/>
    <w:rsid w:val="002F7E46"/>
    <w:rsid w:val="002F7F7E"/>
    <w:rsid w:val="003020A9"/>
    <w:rsid w:val="0030606A"/>
    <w:rsid w:val="0030705A"/>
    <w:rsid w:val="00310B17"/>
    <w:rsid w:val="00314E37"/>
    <w:rsid w:val="0031542C"/>
    <w:rsid w:val="00316CE9"/>
    <w:rsid w:val="00324867"/>
    <w:rsid w:val="00326080"/>
    <w:rsid w:val="00341FC6"/>
    <w:rsid w:val="003425D7"/>
    <w:rsid w:val="003443E8"/>
    <w:rsid w:val="00344854"/>
    <w:rsid w:val="0035595D"/>
    <w:rsid w:val="00355E08"/>
    <w:rsid w:val="003639FF"/>
    <w:rsid w:val="00363ABE"/>
    <w:rsid w:val="00366C6F"/>
    <w:rsid w:val="003703E2"/>
    <w:rsid w:val="00376B46"/>
    <w:rsid w:val="00380ABF"/>
    <w:rsid w:val="003817F5"/>
    <w:rsid w:val="00381E7A"/>
    <w:rsid w:val="003835AF"/>
    <w:rsid w:val="00384B62"/>
    <w:rsid w:val="0038534A"/>
    <w:rsid w:val="00390CDF"/>
    <w:rsid w:val="00391BE8"/>
    <w:rsid w:val="0039379B"/>
    <w:rsid w:val="003A134B"/>
    <w:rsid w:val="003A168A"/>
    <w:rsid w:val="003A3371"/>
    <w:rsid w:val="003A782B"/>
    <w:rsid w:val="003B3A38"/>
    <w:rsid w:val="003B43FB"/>
    <w:rsid w:val="003C12FA"/>
    <w:rsid w:val="003C1DB0"/>
    <w:rsid w:val="003C59B2"/>
    <w:rsid w:val="003D1D47"/>
    <w:rsid w:val="003D293A"/>
    <w:rsid w:val="003D2FBD"/>
    <w:rsid w:val="003D6664"/>
    <w:rsid w:val="003E2A69"/>
    <w:rsid w:val="003E6139"/>
    <w:rsid w:val="003E6B4A"/>
    <w:rsid w:val="003F1C8E"/>
    <w:rsid w:val="003F33E7"/>
    <w:rsid w:val="003F5762"/>
    <w:rsid w:val="003F6518"/>
    <w:rsid w:val="00401F05"/>
    <w:rsid w:val="00411A30"/>
    <w:rsid w:val="0041268A"/>
    <w:rsid w:val="004135B6"/>
    <w:rsid w:val="00413FB4"/>
    <w:rsid w:val="0042089B"/>
    <w:rsid w:val="004222B5"/>
    <w:rsid w:val="00422948"/>
    <w:rsid w:val="0043425A"/>
    <w:rsid w:val="00435E86"/>
    <w:rsid w:val="00436A5C"/>
    <w:rsid w:val="00440D03"/>
    <w:rsid w:val="00441090"/>
    <w:rsid w:val="00441A2F"/>
    <w:rsid w:val="00442035"/>
    <w:rsid w:val="00442847"/>
    <w:rsid w:val="00443037"/>
    <w:rsid w:val="004437A7"/>
    <w:rsid w:val="00453435"/>
    <w:rsid w:val="00456B34"/>
    <w:rsid w:val="00457D20"/>
    <w:rsid w:val="004606DE"/>
    <w:rsid w:val="00463886"/>
    <w:rsid w:val="0046420A"/>
    <w:rsid w:val="00464DC4"/>
    <w:rsid w:val="00464F42"/>
    <w:rsid w:val="004716AA"/>
    <w:rsid w:val="00471915"/>
    <w:rsid w:val="00474ADA"/>
    <w:rsid w:val="00483A92"/>
    <w:rsid w:val="00486F35"/>
    <w:rsid w:val="00487AF2"/>
    <w:rsid w:val="00491D84"/>
    <w:rsid w:val="00492FE1"/>
    <w:rsid w:val="004A0D9B"/>
    <w:rsid w:val="004A1BF9"/>
    <w:rsid w:val="004A2CE2"/>
    <w:rsid w:val="004A2E7A"/>
    <w:rsid w:val="004A6A6E"/>
    <w:rsid w:val="004A7575"/>
    <w:rsid w:val="004B09C3"/>
    <w:rsid w:val="004B2D6E"/>
    <w:rsid w:val="004B3988"/>
    <w:rsid w:val="004B5693"/>
    <w:rsid w:val="004B5CCD"/>
    <w:rsid w:val="004C659E"/>
    <w:rsid w:val="004D3F9A"/>
    <w:rsid w:val="004D4D91"/>
    <w:rsid w:val="004D78A1"/>
    <w:rsid w:val="004E09AD"/>
    <w:rsid w:val="004E26CA"/>
    <w:rsid w:val="004E53DC"/>
    <w:rsid w:val="004E623E"/>
    <w:rsid w:val="004F1ACD"/>
    <w:rsid w:val="004F720E"/>
    <w:rsid w:val="00501EE5"/>
    <w:rsid w:val="00506015"/>
    <w:rsid w:val="005151C6"/>
    <w:rsid w:val="00521C82"/>
    <w:rsid w:val="00521D21"/>
    <w:rsid w:val="0052275F"/>
    <w:rsid w:val="0052599D"/>
    <w:rsid w:val="00530F76"/>
    <w:rsid w:val="00533A9E"/>
    <w:rsid w:val="00533E7D"/>
    <w:rsid w:val="00535707"/>
    <w:rsid w:val="00537521"/>
    <w:rsid w:val="00547806"/>
    <w:rsid w:val="00556361"/>
    <w:rsid w:val="0055692C"/>
    <w:rsid w:val="00556DE7"/>
    <w:rsid w:val="00561404"/>
    <w:rsid w:val="0058112A"/>
    <w:rsid w:val="005827D3"/>
    <w:rsid w:val="0058322B"/>
    <w:rsid w:val="00583A54"/>
    <w:rsid w:val="00586588"/>
    <w:rsid w:val="00587B7A"/>
    <w:rsid w:val="00590033"/>
    <w:rsid w:val="00590BB1"/>
    <w:rsid w:val="00591F97"/>
    <w:rsid w:val="00593740"/>
    <w:rsid w:val="00594DCD"/>
    <w:rsid w:val="0059641A"/>
    <w:rsid w:val="00597D62"/>
    <w:rsid w:val="005A0880"/>
    <w:rsid w:val="005A1EE2"/>
    <w:rsid w:val="005A4392"/>
    <w:rsid w:val="005A5A01"/>
    <w:rsid w:val="005A5B71"/>
    <w:rsid w:val="005B01DB"/>
    <w:rsid w:val="005B1778"/>
    <w:rsid w:val="005B25CA"/>
    <w:rsid w:val="005B6C70"/>
    <w:rsid w:val="005C1E55"/>
    <w:rsid w:val="005C2A2E"/>
    <w:rsid w:val="005C5630"/>
    <w:rsid w:val="005C639B"/>
    <w:rsid w:val="005C78DC"/>
    <w:rsid w:val="005D36C7"/>
    <w:rsid w:val="005D3C25"/>
    <w:rsid w:val="005E3126"/>
    <w:rsid w:val="005E51B9"/>
    <w:rsid w:val="005E61B5"/>
    <w:rsid w:val="005F74F6"/>
    <w:rsid w:val="00600741"/>
    <w:rsid w:val="0061077A"/>
    <w:rsid w:val="00611FA3"/>
    <w:rsid w:val="0061269E"/>
    <w:rsid w:val="006127AB"/>
    <w:rsid w:val="00613A33"/>
    <w:rsid w:val="006244A7"/>
    <w:rsid w:val="00630395"/>
    <w:rsid w:val="00634122"/>
    <w:rsid w:val="0063479B"/>
    <w:rsid w:val="00636898"/>
    <w:rsid w:val="00643F33"/>
    <w:rsid w:val="00645C72"/>
    <w:rsid w:val="00653623"/>
    <w:rsid w:val="00654599"/>
    <w:rsid w:val="0065467F"/>
    <w:rsid w:val="006612C0"/>
    <w:rsid w:val="00664C94"/>
    <w:rsid w:val="0067410B"/>
    <w:rsid w:val="0067614C"/>
    <w:rsid w:val="00676908"/>
    <w:rsid w:val="00677B27"/>
    <w:rsid w:val="0068036A"/>
    <w:rsid w:val="00681450"/>
    <w:rsid w:val="00683706"/>
    <w:rsid w:val="00687463"/>
    <w:rsid w:val="00690528"/>
    <w:rsid w:val="006923BB"/>
    <w:rsid w:val="00694DD5"/>
    <w:rsid w:val="0069584B"/>
    <w:rsid w:val="00697607"/>
    <w:rsid w:val="006A0974"/>
    <w:rsid w:val="006A32CF"/>
    <w:rsid w:val="006A44AA"/>
    <w:rsid w:val="006B2E13"/>
    <w:rsid w:val="006B3A6F"/>
    <w:rsid w:val="006B65A7"/>
    <w:rsid w:val="006C28BD"/>
    <w:rsid w:val="006C3C5A"/>
    <w:rsid w:val="006D088C"/>
    <w:rsid w:val="006D111C"/>
    <w:rsid w:val="006D15AC"/>
    <w:rsid w:val="006D27FE"/>
    <w:rsid w:val="006D4287"/>
    <w:rsid w:val="006D5637"/>
    <w:rsid w:val="006E047B"/>
    <w:rsid w:val="006E1E4B"/>
    <w:rsid w:val="006E6B1D"/>
    <w:rsid w:val="006E7FCD"/>
    <w:rsid w:val="006F4D31"/>
    <w:rsid w:val="00700B20"/>
    <w:rsid w:val="007011C4"/>
    <w:rsid w:val="00707711"/>
    <w:rsid w:val="00710ED2"/>
    <w:rsid w:val="00712D5E"/>
    <w:rsid w:val="00713E5D"/>
    <w:rsid w:val="007213EE"/>
    <w:rsid w:val="00721BAC"/>
    <w:rsid w:val="00721C22"/>
    <w:rsid w:val="00721FF5"/>
    <w:rsid w:val="00724B7F"/>
    <w:rsid w:val="00724D01"/>
    <w:rsid w:val="00725A91"/>
    <w:rsid w:val="007312A8"/>
    <w:rsid w:val="00733E00"/>
    <w:rsid w:val="007344F3"/>
    <w:rsid w:val="00734FA8"/>
    <w:rsid w:val="00740E25"/>
    <w:rsid w:val="00743710"/>
    <w:rsid w:val="007443BD"/>
    <w:rsid w:val="00747694"/>
    <w:rsid w:val="00752FA1"/>
    <w:rsid w:val="00760D5B"/>
    <w:rsid w:val="007621A8"/>
    <w:rsid w:val="00764276"/>
    <w:rsid w:val="007648E9"/>
    <w:rsid w:val="0076508C"/>
    <w:rsid w:val="00766CA3"/>
    <w:rsid w:val="007719F1"/>
    <w:rsid w:val="00772BE7"/>
    <w:rsid w:val="00774DAD"/>
    <w:rsid w:val="007757A9"/>
    <w:rsid w:val="00777563"/>
    <w:rsid w:val="00777777"/>
    <w:rsid w:val="00785096"/>
    <w:rsid w:val="007914A6"/>
    <w:rsid w:val="00791510"/>
    <w:rsid w:val="0079187D"/>
    <w:rsid w:val="007936BA"/>
    <w:rsid w:val="00796CD3"/>
    <w:rsid w:val="007A020E"/>
    <w:rsid w:val="007A158D"/>
    <w:rsid w:val="007A6231"/>
    <w:rsid w:val="007B131E"/>
    <w:rsid w:val="007B4075"/>
    <w:rsid w:val="007C23AE"/>
    <w:rsid w:val="007C2DC8"/>
    <w:rsid w:val="007C6D2A"/>
    <w:rsid w:val="007D3A7A"/>
    <w:rsid w:val="007D7B7B"/>
    <w:rsid w:val="007E0E64"/>
    <w:rsid w:val="007E5D0A"/>
    <w:rsid w:val="007F1C9D"/>
    <w:rsid w:val="007F3AAF"/>
    <w:rsid w:val="007F64F7"/>
    <w:rsid w:val="007F759F"/>
    <w:rsid w:val="008033DB"/>
    <w:rsid w:val="00804821"/>
    <w:rsid w:val="008059B3"/>
    <w:rsid w:val="00812A7F"/>
    <w:rsid w:val="00816052"/>
    <w:rsid w:val="008232C6"/>
    <w:rsid w:val="00823926"/>
    <w:rsid w:val="00827F59"/>
    <w:rsid w:val="0083380D"/>
    <w:rsid w:val="00834828"/>
    <w:rsid w:val="00835829"/>
    <w:rsid w:val="00841D1A"/>
    <w:rsid w:val="00851DBC"/>
    <w:rsid w:val="00855CDA"/>
    <w:rsid w:val="0085682B"/>
    <w:rsid w:val="00865FF8"/>
    <w:rsid w:val="0086680D"/>
    <w:rsid w:val="0087087A"/>
    <w:rsid w:val="00880C28"/>
    <w:rsid w:val="00881D1A"/>
    <w:rsid w:val="00882778"/>
    <w:rsid w:val="0088328B"/>
    <w:rsid w:val="008839C6"/>
    <w:rsid w:val="0088448F"/>
    <w:rsid w:val="008861BF"/>
    <w:rsid w:val="0089172F"/>
    <w:rsid w:val="00892136"/>
    <w:rsid w:val="00892E0E"/>
    <w:rsid w:val="00895DAB"/>
    <w:rsid w:val="00896942"/>
    <w:rsid w:val="00897A71"/>
    <w:rsid w:val="008A05A7"/>
    <w:rsid w:val="008A1CCA"/>
    <w:rsid w:val="008A4C31"/>
    <w:rsid w:val="008A68B7"/>
    <w:rsid w:val="008B18C2"/>
    <w:rsid w:val="008B382E"/>
    <w:rsid w:val="008B498A"/>
    <w:rsid w:val="008C0625"/>
    <w:rsid w:val="008C5681"/>
    <w:rsid w:val="008C5A6B"/>
    <w:rsid w:val="008C7488"/>
    <w:rsid w:val="008D0BEB"/>
    <w:rsid w:val="008D2A7E"/>
    <w:rsid w:val="008D453D"/>
    <w:rsid w:val="008E2A50"/>
    <w:rsid w:val="008E2F2E"/>
    <w:rsid w:val="008E4898"/>
    <w:rsid w:val="008E6765"/>
    <w:rsid w:val="008F018F"/>
    <w:rsid w:val="008F4FD7"/>
    <w:rsid w:val="009005FD"/>
    <w:rsid w:val="00906312"/>
    <w:rsid w:val="00911CB4"/>
    <w:rsid w:val="00917233"/>
    <w:rsid w:val="00922004"/>
    <w:rsid w:val="009246E4"/>
    <w:rsid w:val="009249B7"/>
    <w:rsid w:val="00927446"/>
    <w:rsid w:val="00931AD3"/>
    <w:rsid w:val="00932D16"/>
    <w:rsid w:val="009351C0"/>
    <w:rsid w:val="00935F99"/>
    <w:rsid w:val="00936953"/>
    <w:rsid w:val="00936963"/>
    <w:rsid w:val="00936F10"/>
    <w:rsid w:val="00945764"/>
    <w:rsid w:val="00951ACE"/>
    <w:rsid w:val="009569F2"/>
    <w:rsid w:val="00956AEB"/>
    <w:rsid w:val="00956E39"/>
    <w:rsid w:val="00960DC9"/>
    <w:rsid w:val="00962282"/>
    <w:rsid w:val="00973CA1"/>
    <w:rsid w:val="0098191E"/>
    <w:rsid w:val="00983107"/>
    <w:rsid w:val="00983C9D"/>
    <w:rsid w:val="00986C71"/>
    <w:rsid w:val="00987871"/>
    <w:rsid w:val="00992BD2"/>
    <w:rsid w:val="0099483A"/>
    <w:rsid w:val="00996A0A"/>
    <w:rsid w:val="009A1912"/>
    <w:rsid w:val="009A3AB9"/>
    <w:rsid w:val="009A67CD"/>
    <w:rsid w:val="009B225D"/>
    <w:rsid w:val="009B4726"/>
    <w:rsid w:val="009B6868"/>
    <w:rsid w:val="009B75C3"/>
    <w:rsid w:val="009C23DA"/>
    <w:rsid w:val="009C46DA"/>
    <w:rsid w:val="009C4E83"/>
    <w:rsid w:val="009C5FF8"/>
    <w:rsid w:val="009C670B"/>
    <w:rsid w:val="009C7FE5"/>
    <w:rsid w:val="009D422E"/>
    <w:rsid w:val="009E3F72"/>
    <w:rsid w:val="009E500D"/>
    <w:rsid w:val="009F2533"/>
    <w:rsid w:val="00A07821"/>
    <w:rsid w:val="00A116AB"/>
    <w:rsid w:val="00A146F9"/>
    <w:rsid w:val="00A20E1A"/>
    <w:rsid w:val="00A22E41"/>
    <w:rsid w:val="00A23755"/>
    <w:rsid w:val="00A26347"/>
    <w:rsid w:val="00A3384F"/>
    <w:rsid w:val="00A40545"/>
    <w:rsid w:val="00A40BB2"/>
    <w:rsid w:val="00A41D29"/>
    <w:rsid w:val="00A41DA0"/>
    <w:rsid w:val="00A42741"/>
    <w:rsid w:val="00A45DAD"/>
    <w:rsid w:val="00A46228"/>
    <w:rsid w:val="00A47E58"/>
    <w:rsid w:val="00A47E8B"/>
    <w:rsid w:val="00A6066F"/>
    <w:rsid w:val="00A61675"/>
    <w:rsid w:val="00A61823"/>
    <w:rsid w:val="00A62609"/>
    <w:rsid w:val="00A63A92"/>
    <w:rsid w:val="00A64FC4"/>
    <w:rsid w:val="00A741C8"/>
    <w:rsid w:val="00A77B32"/>
    <w:rsid w:val="00A83032"/>
    <w:rsid w:val="00A85CDD"/>
    <w:rsid w:val="00A85FBF"/>
    <w:rsid w:val="00A874FD"/>
    <w:rsid w:val="00A923ED"/>
    <w:rsid w:val="00A9261F"/>
    <w:rsid w:val="00A93939"/>
    <w:rsid w:val="00A944E1"/>
    <w:rsid w:val="00A946F4"/>
    <w:rsid w:val="00AA3C3C"/>
    <w:rsid w:val="00AB05A9"/>
    <w:rsid w:val="00AB0DAE"/>
    <w:rsid w:val="00AB7E20"/>
    <w:rsid w:val="00AC150D"/>
    <w:rsid w:val="00AC1890"/>
    <w:rsid w:val="00AD5D26"/>
    <w:rsid w:val="00AE1855"/>
    <w:rsid w:val="00AE272B"/>
    <w:rsid w:val="00AE727B"/>
    <w:rsid w:val="00AE7602"/>
    <w:rsid w:val="00AF1B51"/>
    <w:rsid w:val="00AF2954"/>
    <w:rsid w:val="00AF5BF5"/>
    <w:rsid w:val="00AF6C63"/>
    <w:rsid w:val="00AF799F"/>
    <w:rsid w:val="00B00B96"/>
    <w:rsid w:val="00B13C05"/>
    <w:rsid w:val="00B25A9F"/>
    <w:rsid w:val="00B274E8"/>
    <w:rsid w:val="00B312B4"/>
    <w:rsid w:val="00B32B02"/>
    <w:rsid w:val="00B337FF"/>
    <w:rsid w:val="00B354D6"/>
    <w:rsid w:val="00B35B82"/>
    <w:rsid w:val="00B365BF"/>
    <w:rsid w:val="00B3686D"/>
    <w:rsid w:val="00B40625"/>
    <w:rsid w:val="00B454AE"/>
    <w:rsid w:val="00B52336"/>
    <w:rsid w:val="00B535E6"/>
    <w:rsid w:val="00B61B34"/>
    <w:rsid w:val="00B61E01"/>
    <w:rsid w:val="00B63F0D"/>
    <w:rsid w:val="00B65B08"/>
    <w:rsid w:val="00B67A30"/>
    <w:rsid w:val="00B723E3"/>
    <w:rsid w:val="00B757FC"/>
    <w:rsid w:val="00B802D6"/>
    <w:rsid w:val="00B81EE7"/>
    <w:rsid w:val="00B83291"/>
    <w:rsid w:val="00B85DFF"/>
    <w:rsid w:val="00B91DC4"/>
    <w:rsid w:val="00B93BB7"/>
    <w:rsid w:val="00B94E8C"/>
    <w:rsid w:val="00BA4F9B"/>
    <w:rsid w:val="00BA786A"/>
    <w:rsid w:val="00BB192F"/>
    <w:rsid w:val="00BB3A59"/>
    <w:rsid w:val="00BB68C9"/>
    <w:rsid w:val="00BB7435"/>
    <w:rsid w:val="00BB7884"/>
    <w:rsid w:val="00BB7BD6"/>
    <w:rsid w:val="00BC07D3"/>
    <w:rsid w:val="00BC2132"/>
    <w:rsid w:val="00BC3B46"/>
    <w:rsid w:val="00BE108E"/>
    <w:rsid w:val="00BE535B"/>
    <w:rsid w:val="00BE5AE0"/>
    <w:rsid w:val="00BE7E46"/>
    <w:rsid w:val="00BF2C89"/>
    <w:rsid w:val="00BF5E4E"/>
    <w:rsid w:val="00C00883"/>
    <w:rsid w:val="00C13F31"/>
    <w:rsid w:val="00C157EF"/>
    <w:rsid w:val="00C217D0"/>
    <w:rsid w:val="00C226B3"/>
    <w:rsid w:val="00C22A3D"/>
    <w:rsid w:val="00C30557"/>
    <w:rsid w:val="00C31634"/>
    <w:rsid w:val="00C36317"/>
    <w:rsid w:val="00C37C9B"/>
    <w:rsid w:val="00C40AF1"/>
    <w:rsid w:val="00C47E63"/>
    <w:rsid w:val="00C5064F"/>
    <w:rsid w:val="00C51C7D"/>
    <w:rsid w:val="00C54564"/>
    <w:rsid w:val="00C565C5"/>
    <w:rsid w:val="00C60EE1"/>
    <w:rsid w:val="00C63E96"/>
    <w:rsid w:val="00C709DF"/>
    <w:rsid w:val="00C732BE"/>
    <w:rsid w:val="00C76D65"/>
    <w:rsid w:val="00C80D2A"/>
    <w:rsid w:val="00C84DC8"/>
    <w:rsid w:val="00C851BD"/>
    <w:rsid w:val="00C86C20"/>
    <w:rsid w:val="00C86D91"/>
    <w:rsid w:val="00C91EE2"/>
    <w:rsid w:val="00C96FB7"/>
    <w:rsid w:val="00CA3517"/>
    <w:rsid w:val="00CA7E38"/>
    <w:rsid w:val="00CB1214"/>
    <w:rsid w:val="00CB1F91"/>
    <w:rsid w:val="00CB2A02"/>
    <w:rsid w:val="00CB4BD6"/>
    <w:rsid w:val="00CB5039"/>
    <w:rsid w:val="00CC567C"/>
    <w:rsid w:val="00CD08ED"/>
    <w:rsid w:val="00CD1A09"/>
    <w:rsid w:val="00CD2F88"/>
    <w:rsid w:val="00CD4C20"/>
    <w:rsid w:val="00CD51CC"/>
    <w:rsid w:val="00CD609A"/>
    <w:rsid w:val="00CD62EB"/>
    <w:rsid w:val="00CE1410"/>
    <w:rsid w:val="00CE21B7"/>
    <w:rsid w:val="00CE3B72"/>
    <w:rsid w:val="00CF016A"/>
    <w:rsid w:val="00CF1CD7"/>
    <w:rsid w:val="00CF2D55"/>
    <w:rsid w:val="00CF30A4"/>
    <w:rsid w:val="00CF3817"/>
    <w:rsid w:val="00D00E87"/>
    <w:rsid w:val="00D01046"/>
    <w:rsid w:val="00D064E3"/>
    <w:rsid w:val="00D14F39"/>
    <w:rsid w:val="00D15D11"/>
    <w:rsid w:val="00D16891"/>
    <w:rsid w:val="00D2347C"/>
    <w:rsid w:val="00D24201"/>
    <w:rsid w:val="00D25B2F"/>
    <w:rsid w:val="00D27D27"/>
    <w:rsid w:val="00D30883"/>
    <w:rsid w:val="00D314D1"/>
    <w:rsid w:val="00D36E5B"/>
    <w:rsid w:val="00D457A9"/>
    <w:rsid w:val="00D46A85"/>
    <w:rsid w:val="00D504D6"/>
    <w:rsid w:val="00D528BD"/>
    <w:rsid w:val="00D5649E"/>
    <w:rsid w:val="00D56A01"/>
    <w:rsid w:val="00D60B78"/>
    <w:rsid w:val="00D613B9"/>
    <w:rsid w:val="00D628E1"/>
    <w:rsid w:val="00D62901"/>
    <w:rsid w:val="00D647C8"/>
    <w:rsid w:val="00D6733D"/>
    <w:rsid w:val="00D77393"/>
    <w:rsid w:val="00D80447"/>
    <w:rsid w:val="00D8073F"/>
    <w:rsid w:val="00D8188F"/>
    <w:rsid w:val="00D82665"/>
    <w:rsid w:val="00D83B5D"/>
    <w:rsid w:val="00D85BF6"/>
    <w:rsid w:val="00D87B34"/>
    <w:rsid w:val="00D943A6"/>
    <w:rsid w:val="00D94B55"/>
    <w:rsid w:val="00D96953"/>
    <w:rsid w:val="00D97138"/>
    <w:rsid w:val="00DA11DF"/>
    <w:rsid w:val="00DA2257"/>
    <w:rsid w:val="00DA34B6"/>
    <w:rsid w:val="00DA522B"/>
    <w:rsid w:val="00DB1D13"/>
    <w:rsid w:val="00DB2F98"/>
    <w:rsid w:val="00DB3289"/>
    <w:rsid w:val="00DB4278"/>
    <w:rsid w:val="00DC170F"/>
    <w:rsid w:val="00DC17AF"/>
    <w:rsid w:val="00DC19D7"/>
    <w:rsid w:val="00DC2AD0"/>
    <w:rsid w:val="00DC485D"/>
    <w:rsid w:val="00DC5B96"/>
    <w:rsid w:val="00DD1B63"/>
    <w:rsid w:val="00DD31DF"/>
    <w:rsid w:val="00DD5394"/>
    <w:rsid w:val="00DD5FDA"/>
    <w:rsid w:val="00DD7DC8"/>
    <w:rsid w:val="00DE0BB5"/>
    <w:rsid w:val="00DE4841"/>
    <w:rsid w:val="00DE65D3"/>
    <w:rsid w:val="00DF04F1"/>
    <w:rsid w:val="00DF23F8"/>
    <w:rsid w:val="00DF340E"/>
    <w:rsid w:val="00DF5893"/>
    <w:rsid w:val="00DF5AED"/>
    <w:rsid w:val="00E0226B"/>
    <w:rsid w:val="00E03887"/>
    <w:rsid w:val="00E0508A"/>
    <w:rsid w:val="00E05304"/>
    <w:rsid w:val="00E1153E"/>
    <w:rsid w:val="00E117E9"/>
    <w:rsid w:val="00E11944"/>
    <w:rsid w:val="00E11D0B"/>
    <w:rsid w:val="00E13D10"/>
    <w:rsid w:val="00E16667"/>
    <w:rsid w:val="00E26A51"/>
    <w:rsid w:val="00E26C40"/>
    <w:rsid w:val="00E35BEF"/>
    <w:rsid w:val="00E362CD"/>
    <w:rsid w:val="00E4038E"/>
    <w:rsid w:val="00E513B3"/>
    <w:rsid w:val="00E53558"/>
    <w:rsid w:val="00E53B58"/>
    <w:rsid w:val="00E54305"/>
    <w:rsid w:val="00E565BA"/>
    <w:rsid w:val="00E56D6F"/>
    <w:rsid w:val="00E63BF7"/>
    <w:rsid w:val="00E67580"/>
    <w:rsid w:val="00E71C74"/>
    <w:rsid w:val="00E77670"/>
    <w:rsid w:val="00E81482"/>
    <w:rsid w:val="00E827B1"/>
    <w:rsid w:val="00E8484C"/>
    <w:rsid w:val="00E87B70"/>
    <w:rsid w:val="00E93856"/>
    <w:rsid w:val="00E95653"/>
    <w:rsid w:val="00E971DB"/>
    <w:rsid w:val="00EA2CA8"/>
    <w:rsid w:val="00EA34C4"/>
    <w:rsid w:val="00EA37C0"/>
    <w:rsid w:val="00EA4CA2"/>
    <w:rsid w:val="00EA58E1"/>
    <w:rsid w:val="00EB4F73"/>
    <w:rsid w:val="00EB7EEB"/>
    <w:rsid w:val="00EC1577"/>
    <w:rsid w:val="00EC205D"/>
    <w:rsid w:val="00EC4455"/>
    <w:rsid w:val="00ED092A"/>
    <w:rsid w:val="00ED2512"/>
    <w:rsid w:val="00ED2ECC"/>
    <w:rsid w:val="00EE51F2"/>
    <w:rsid w:val="00EE537D"/>
    <w:rsid w:val="00EE6313"/>
    <w:rsid w:val="00EF1299"/>
    <w:rsid w:val="00EF64DF"/>
    <w:rsid w:val="00F030FA"/>
    <w:rsid w:val="00F04423"/>
    <w:rsid w:val="00F04ADB"/>
    <w:rsid w:val="00F04BB2"/>
    <w:rsid w:val="00F05B92"/>
    <w:rsid w:val="00F0651A"/>
    <w:rsid w:val="00F125FF"/>
    <w:rsid w:val="00F14949"/>
    <w:rsid w:val="00F17DF7"/>
    <w:rsid w:val="00F24177"/>
    <w:rsid w:val="00F26856"/>
    <w:rsid w:val="00F3152B"/>
    <w:rsid w:val="00F316FB"/>
    <w:rsid w:val="00F327CF"/>
    <w:rsid w:val="00F32A76"/>
    <w:rsid w:val="00F34F05"/>
    <w:rsid w:val="00F40140"/>
    <w:rsid w:val="00F42A46"/>
    <w:rsid w:val="00F44FC9"/>
    <w:rsid w:val="00F47F5F"/>
    <w:rsid w:val="00F60365"/>
    <w:rsid w:val="00F60A8B"/>
    <w:rsid w:val="00F611D2"/>
    <w:rsid w:val="00F72F96"/>
    <w:rsid w:val="00F74876"/>
    <w:rsid w:val="00F7541E"/>
    <w:rsid w:val="00F75732"/>
    <w:rsid w:val="00F853E4"/>
    <w:rsid w:val="00F8646E"/>
    <w:rsid w:val="00F86BFD"/>
    <w:rsid w:val="00F91EAF"/>
    <w:rsid w:val="00F938CC"/>
    <w:rsid w:val="00F9433D"/>
    <w:rsid w:val="00F958DD"/>
    <w:rsid w:val="00FA2C3B"/>
    <w:rsid w:val="00FA3CEA"/>
    <w:rsid w:val="00FA5F18"/>
    <w:rsid w:val="00FA6052"/>
    <w:rsid w:val="00FB010B"/>
    <w:rsid w:val="00FB0D08"/>
    <w:rsid w:val="00FB12A6"/>
    <w:rsid w:val="00FB3A8F"/>
    <w:rsid w:val="00FB55D1"/>
    <w:rsid w:val="00FB5C0B"/>
    <w:rsid w:val="00FC018A"/>
    <w:rsid w:val="00FC31D4"/>
    <w:rsid w:val="00FC54E8"/>
    <w:rsid w:val="00FC7FD3"/>
    <w:rsid w:val="00FD0612"/>
    <w:rsid w:val="00FD2497"/>
    <w:rsid w:val="00FD4E26"/>
    <w:rsid w:val="00FE6404"/>
    <w:rsid w:val="00FF06EE"/>
    <w:rsid w:val="00FF18A9"/>
    <w:rsid w:val="00FF4159"/>
    <w:rsid w:val="00FF4E43"/>
    <w:rsid w:val="00FF53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Самый обычный"/>
    <w:qFormat/>
    <w:rsid w:val="00FF4E43"/>
    <w:pPr>
      <w:ind w:firstLine="709"/>
      <w:jc w:val="both"/>
    </w:pPr>
    <w:rPr>
      <w:rFonts w:ascii="Times New Roman" w:eastAsia="Times New Roman" w:hAnsi="Times New Roman"/>
      <w:sz w:val="28"/>
      <w:szCs w:val="22"/>
    </w:rPr>
  </w:style>
  <w:style w:type="paragraph" w:styleId="1">
    <w:name w:val="heading 1"/>
    <w:aliases w:val="Заголовок 111111"/>
    <w:basedOn w:val="a"/>
    <w:next w:val="a"/>
    <w:link w:val="10"/>
    <w:autoRedefine/>
    <w:uiPriority w:val="9"/>
    <w:qFormat/>
    <w:rsid w:val="00B93BB7"/>
    <w:pPr>
      <w:keepNext/>
      <w:keepLines/>
      <w:ind w:firstLine="0"/>
      <w:jc w:val="center"/>
      <w:outlineLvl w:val="0"/>
    </w:pPr>
    <w:rPr>
      <w:b/>
      <w:bCs/>
      <w:szCs w:val="28"/>
    </w:rPr>
  </w:style>
  <w:style w:type="paragraph" w:styleId="3">
    <w:name w:val="heading 3"/>
    <w:basedOn w:val="a"/>
    <w:next w:val="a"/>
    <w:link w:val="30"/>
    <w:uiPriority w:val="9"/>
    <w:semiHidden/>
    <w:unhideWhenUsed/>
    <w:qFormat/>
    <w:rsid w:val="00FF4E43"/>
    <w:pPr>
      <w:keepNext/>
      <w:keepLines/>
      <w:spacing w:before="200"/>
      <w:outlineLvl w:val="2"/>
    </w:pPr>
    <w:rPr>
      <w:rFonts w:ascii="Cambria" w:hAnsi="Cambria"/>
      <w:b/>
      <w:b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3">
    <w:name w:val="Основной текст (33)_"/>
    <w:link w:val="330"/>
    <w:rsid w:val="009C670B"/>
    <w:rPr>
      <w:b/>
      <w:bCs/>
      <w:sz w:val="26"/>
      <w:szCs w:val="26"/>
      <w:shd w:val="clear" w:color="auto" w:fill="FFFFFF"/>
    </w:rPr>
  </w:style>
  <w:style w:type="paragraph" w:customStyle="1" w:styleId="330">
    <w:name w:val="Основной текст (33)"/>
    <w:basedOn w:val="a"/>
    <w:link w:val="33"/>
    <w:rsid w:val="009C670B"/>
    <w:pPr>
      <w:shd w:val="clear" w:color="auto" w:fill="FFFFFF"/>
      <w:spacing w:before="240" w:after="240" w:line="336" w:lineRule="exact"/>
    </w:pPr>
    <w:rPr>
      <w:rFonts w:ascii="Calibri" w:eastAsia="Calibri" w:hAnsi="Calibri"/>
      <w:b/>
      <w:bCs/>
      <w:sz w:val="26"/>
      <w:szCs w:val="26"/>
    </w:rPr>
  </w:style>
  <w:style w:type="paragraph" w:styleId="a3">
    <w:name w:val="Balloon Text"/>
    <w:basedOn w:val="a"/>
    <w:link w:val="a4"/>
    <w:uiPriority w:val="99"/>
    <w:semiHidden/>
    <w:unhideWhenUsed/>
    <w:rsid w:val="009C670B"/>
    <w:rPr>
      <w:rFonts w:ascii="Tahoma" w:hAnsi="Tahoma"/>
      <w:sz w:val="16"/>
      <w:szCs w:val="16"/>
    </w:rPr>
  </w:style>
  <w:style w:type="character" w:customStyle="1" w:styleId="a4">
    <w:name w:val="Текст выноски Знак"/>
    <w:link w:val="a3"/>
    <w:uiPriority w:val="99"/>
    <w:semiHidden/>
    <w:rsid w:val="009C670B"/>
    <w:rPr>
      <w:rFonts w:ascii="Tahoma" w:eastAsia="Times New Roman" w:hAnsi="Tahoma" w:cs="Tahoma"/>
      <w:sz w:val="16"/>
      <w:szCs w:val="16"/>
      <w:lang w:eastAsia="ru-RU"/>
    </w:rPr>
  </w:style>
  <w:style w:type="paragraph" w:styleId="a5">
    <w:name w:val="List Paragraph"/>
    <w:basedOn w:val="a"/>
    <w:link w:val="a6"/>
    <w:uiPriority w:val="99"/>
    <w:qFormat/>
    <w:rsid w:val="009C670B"/>
    <w:pPr>
      <w:ind w:left="720"/>
      <w:contextualSpacing/>
    </w:pPr>
    <w:rPr>
      <w:rFonts w:ascii="Calibri" w:eastAsia="Calibri" w:hAnsi="Calibri"/>
      <w:sz w:val="20"/>
      <w:szCs w:val="20"/>
    </w:rPr>
  </w:style>
  <w:style w:type="paragraph" w:styleId="a7">
    <w:name w:val="footnote text"/>
    <w:basedOn w:val="a"/>
    <w:link w:val="a8"/>
    <w:uiPriority w:val="99"/>
    <w:semiHidden/>
    <w:unhideWhenUsed/>
    <w:rsid w:val="009C670B"/>
    <w:rPr>
      <w:rFonts w:ascii="Calibri" w:eastAsia="Calibri" w:hAnsi="Calibri"/>
      <w:sz w:val="20"/>
      <w:szCs w:val="20"/>
    </w:rPr>
  </w:style>
  <w:style w:type="character" w:customStyle="1" w:styleId="a8">
    <w:name w:val="Текст сноски Знак"/>
    <w:link w:val="a7"/>
    <w:uiPriority w:val="99"/>
    <w:semiHidden/>
    <w:rsid w:val="009C670B"/>
    <w:rPr>
      <w:rFonts w:ascii="Calibri" w:eastAsia="Calibri" w:hAnsi="Calibri" w:cs="Times New Roman"/>
      <w:sz w:val="20"/>
      <w:szCs w:val="20"/>
    </w:rPr>
  </w:style>
  <w:style w:type="character" w:styleId="a9">
    <w:name w:val="footnote reference"/>
    <w:uiPriority w:val="99"/>
    <w:semiHidden/>
    <w:unhideWhenUsed/>
    <w:rsid w:val="009C670B"/>
    <w:rPr>
      <w:vertAlign w:val="superscript"/>
    </w:rPr>
  </w:style>
  <w:style w:type="paragraph" w:customStyle="1" w:styleId="ConsPlusCell">
    <w:name w:val="ConsPlusCell"/>
    <w:uiPriority w:val="99"/>
    <w:rsid w:val="00897A71"/>
    <w:pPr>
      <w:autoSpaceDE w:val="0"/>
      <w:autoSpaceDN w:val="0"/>
      <w:adjustRightInd w:val="0"/>
    </w:pPr>
    <w:rPr>
      <w:rFonts w:ascii="Times New Roman" w:hAnsi="Times New Roman"/>
      <w:sz w:val="28"/>
      <w:szCs w:val="28"/>
    </w:rPr>
  </w:style>
  <w:style w:type="character" w:customStyle="1" w:styleId="FontStyle14">
    <w:name w:val="Font Style14"/>
    <w:uiPriority w:val="99"/>
    <w:rsid w:val="00897A71"/>
    <w:rPr>
      <w:rFonts w:ascii="Times New Roman" w:hAnsi="Times New Roman" w:cs="Times New Roman" w:hint="default"/>
      <w:sz w:val="24"/>
      <w:szCs w:val="24"/>
    </w:rPr>
  </w:style>
  <w:style w:type="character" w:customStyle="1" w:styleId="10">
    <w:name w:val="Заголовок 1 Знак"/>
    <w:aliases w:val="Заголовок 111111 Знак"/>
    <w:link w:val="1"/>
    <w:uiPriority w:val="9"/>
    <w:rsid w:val="00B93BB7"/>
    <w:rPr>
      <w:rFonts w:ascii="Times New Roman" w:eastAsia="Times New Roman" w:hAnsi="Times New Roman" w:cs="Times New Roman"/>
      <w:b/>
      <w:bCs/>
      <w:sz w:val="28"/>
      <w:szCs w:val="28"/>
      <w:lang w:eastAsia="ru-RU"/>
    </w:rPr>
  </w:style>
  <w:style w:type="paragraph" w:styleId="aa">
    <w:name w:val="Normal (Web)"/>
    <w:aliases w:val="Обычный (веб) Знак,Обычный (веб) Знак1 Знак,Обычный (веб) Знак Знак Знак,Обычный (веб) Знак1 Знак Знак,Обычный (веб) Знак Знак Знак Знак,Обычный (веб) Знак1,Обычный (веб) Знак Знак,Обычный (веб) Знак Знак Char Знак,Обычный (Web)1"/>
    <w:basedOn w:val="a"/>
    <w:link w:val="2"/>
    <w:uiPriority w:val="99"/>
    <w:rsid w:val="00FF4E43"/>
    <w:pPr>
      <w:spacing w:before="100" w:beforeAutospacing="1" w:after="100" w:afterAutospacing="1"/>
    </w:pPr>
    <w:rPr>
      <w:sz w:val="24"/>
      <w:szCs w:val="24"/>
    </w:rPr>
  </w:style>
  <w:style w:type="character" w:styleId="ab">
    <w:name w:val="Strong"/>
    <w:qFormat/>
    <w:rsid w:val="00FF4E43"/>
    <w:rPr>
      <w:b/>
      <w:bCs/>
    </w:rPr>
  </w:style>
  <w:style w:type="character" w:customStyle="1" w:styleId="c1">
    <w:name w:val="c1"/>
    <w:uiPriority w:val="99"/>
    <w:rsid w:val="00FF4E43"/>
    <w:rPr>
      <w:rFonts w:cs="Times New Roman"/>
    </w:rPr>
  </w:style>
  <w:style w:type="character" w:customStyle="1" w:styleId="default005f005fchar1char1">
    <w:name w:val="default_005f_005fchar1__char1"/>
    <w:rsid w:val="00FF4E43"/>
    <w:rPr>
      <w:rFonts w:ascii="Times New Roman" w:hAnsi="Times New Roman" w:cs="Times New Roman" w:hint="default"/>
      <w:strike w:val="0"/>
      <w:dstrike w:val="0"/>
      <w:sz w:val="24"/>
      <w:szCs w:val="24"/>
      <w:u w:val="none"/>
      <w:effect w:val="none"/>
    </w:rPr>
  </w:style>
  <w:style w:type="paragraph" w:customStyle="1" w:styleId="western">
    <w:name w:val="western"/>
    <w:basedOn w:val="a"/>
    <w:rsid w:val="00FF4E43"/>
    <w:pPr>
      <w:spacing w:before="100" w:beforeAutospacing="1" w:after="100" w:afterAutospacing="1"/>
    </w:pPr>
    <w:rPr>
      <w:sz w:val="24"/>
      <w:szCs w:val="24"/>
    </w:rPr>
  </w:style>
  <w:style w:type="character" w:customStyle="1" w:styleId="text">
    <w:name w:val="text"/>
    <w:rsid w:val="00FF4E43"/>
  </w:style>
  <w:style w:type="character" w:customStyle="1" w:styleId="2">
    <w:name w:val="Обычный (веб) Знак2"/>
    <w:aliases w:val="Обычный (веб) Знак Знак1,Обычный (веб) Знак1 Знак Знак1,Обычный (веб) Знак Знак Знак Знак1,Обычный (веб) Знак1 Знак Знак Знак,Обычный (веб) Знак Знак Знак Знак Знак,Обычный (веб) Знак1 Знак1,Обычный (веб) Знак Знак Знак1"/>
    <w:link w:val="aa"/>
    <w:uiPriority w:val="99"/>
    <w:locked/>
    <w:rsid w:val="00FF4E43"/>
    <w:rPr>
      <w:rFonts w:ascii="Times New Roman" w:eastAsia="Times New Roman" w:hAnsi="Times New Roman" w:cs="Times New Roman"/>
      <w:sz w:val="24"/>
      <w:szCs w:val="24"/>
    </w:rPr>
  </w:style>
  <w:style w:type="paragraph" w:customStyle="1" w:styleId="Default">
    <w:name w:val="Default"/>
    <w:rsid w:val="00FF4E43"/>
    <w:pPr>
      <w:autoSpaceDE w:val="0"/>
      <w:autoSpaceDN w:val="0"/>
      <w:adjustRightInd w:val="0"/>
    </w:pPr>
    <w:rPr>
      <w:rFonts w:ascii="Times New Roman" w:hAnsi="Times New Roman"/>
      <w:color w:val="000000"/>
      <w:sz w:val="24"/>
      <w:szCs w:val="24"/>
    </w:rPr>
  </w:style>
  <w:style w:type="character" w:customStyle="1" w:styleId="30">
    <w:name w:val="Заголовок 3 Знак"/>
    <w:link w:val="3"/>
    <w:uiPriority w:val="9"/>
    <w:semiHidden/>
    <w:rsid w:val="00FF4E43"/>
    <w:rPr>
      <w:rFonts w:ascii="Cambria" w:eastAsia="Times New Roman" w:hAnsi="Cambria" w:cs="Times New Roman"/>
      <w:b/>
      <w:bCs/>
      <w:color w:val="4F81BD"/>
      <w:lang w:eastAsia="ru-RU"/>
    </w:rPr>
  </w:style>
  <w:style w:type="paragraph" w:styleId="ac">
    <w:name w:val="Body Text"/>
    <w:basedOn w:val="a"/>
    <w:link w:val="ad"/>
    <w:uiPriority w:val="99"/>
    <w:unhideWhenUsed/>
    <w:rsid w:val="00FF4E43"/>
    <w:pPr>
      <w:spacing w:after="120"/>
    </w:pPr>
    <w:rPr>
      <w:sz w:val="24"/>
      <w:szCs w:val="24"/>
    </w:rPr>
  </w:style>
  <w:style w:type="character" w:customStyle="1" w:styleId="ad">
    <w:name w:val="Основной текст Знак"/>
    <w:link w:val="ac"/>
    <w:uiPriority w:val="99"/>
    <w:rsid w:val="00FF4E43"/>
    <w:rPr>
      <w:rFonts w:ascii="Times New Roman" w:eastAsia="Times New Roman" w:hAnsi="Times New Roman" w:cs="Times New Roman"/>
      <w:sz w:val="24"/>
      <w:szCs w:val="24"/>
      <w:lang w:eastAsia="ru-RU"/>
    </w:rPr>
  </w:style>
  <w:style w:type="paragraph" w:styleId="ae">
    <w:name w:val="annotation text"/>
    <w:basedOn w:val="a"/>
    <w:link w:val="af"/>
    <w:uiPriority w:val="99"/>
    <w:unhideWhenUsed/>
    <w:rsid w:val="00FF4E43"/>
    <w:rPr>
      <w:sz w:val="20"/>
      <w:szCs w:val="20"/>
    </w:rPr>
  </w:style>
  <w:style w:type="character" w:customStyle="1" w:styleId="af">
    <w:name w:val="Текст примечания Знак"/>
    <w:link w:val="ae"/>
    <w:uiPriority w:val="99"/>
    <w:rsid w:val="00FF4E43"/>
    <w:rPr>
      <w:rFonts w:ascii="Times New Roman" w:eastAsia="Times New Roman" w:hAnsi="Times New Roman" w:cs="Times New Roman"/>
      <w:sz w:val="20"/>
      <w:szCs w:val="20"/>
      <w:lang w:eastAsia="ru-RU"/>
    </w:rPr>
  </w:style>
  <w:style w:type="character" w:customStyle="1" w:styleId="a6">
    <w:name w:val="Абзац списка Знак"/>
    <w:link w:val="a5"/>
    <w:uiPriority w:val="99"/>
    <w:rsid w:val="00FF4E43"/>
    <w:rPr>
      <w:rFonts w:ascii="Calibri" w:eastAsia="Calibri" w:hAnsi="Calibri" w:cs="Times New Roman"/>
    </w:rPr>
  </w:style>
  <w:style w:type="paragraph" w:customStyle="1" w:styleId="Textbody">
    <w:name w:val="Text body"/>
    <w:basedOn w:val="a"/>
    <w:rsid w:val="00FF4E43"/>
    <w:pPr>
      <w:widowControl w:val="0"/>
      <w:tabs>
        <w:tab w:val="left" w:pos="708"/>
      </w:tabs>
      <w:suppressAutoHyphens/>
      <w:autoSpaceDN w:val="0"/>
      <w:spacing w:after="120" w:line="100" w:lineRule="atLeast"/>
      <w:ind w:firstLine="0"/>
      <w:jc w:val="left"/>
      <w:textAlignment w:val="baseline"/>
    </w:pPr>
    <w:rPr>
      <w:rFonts w:eastAsia="SimSun" w:cs="Mangal"/>
      <w:color w:val="00000A"/>
      <w:kern w:val="3"/>
      <w:sz w:val="24"/>
      <w:szCs w:val="24"/>
      <w:lang w:eastAsia="zh-CN" w:bidi="hi-IN"/>
    </w:rPr>
  </w:style>
  <w:style w:type="paragraph" w:customStyle="1" w:styleId="ConsPlusNonformat">
    <w:name w:val="ConsPlusNonformat"/>
    <w:uiPriority w:val="99"/>
    <w:rsid w:val="00B93BB7"/>
    <w:pPr>
      <w:autoSpaceDE w:val="0"/>
      <w:autoSpaceDN w:val="0"/>
      <w:adjustRightInd w:val="0"/>
    </w:pPr>
    <w:rPr>
      <w:rFonts w:ascii="Courier New" w:hAnsi="Courier New" w:cs="Courier New"/>
      <w:lang w:eastAsia="en-US"/>
    </w:rPr>
  </w:style>
  <w:style w:type="paragraph" w:customStyle="1" w:styleId="ConsPlusNormal">
    <w:name w:val="ConsPlusNormal"/>
    <w:link w:val="ConsPlusNormal0"/>
    <w:rsid w:val="00B93BB7"/>
    <w:pPr>
      <w:widowControl w:val="0"/>
      <w:autoSpaceDE w:val="0"/>
      <w:autoSpaceDN w:val="0"/>
      <w:adjustRightInd w:val="0"/>
      <w:ind w:firstLine="720"/>
    </w:pPr>
    <w:rPr>
      <w:rFonts w:ascii="Arial" w:eastAsia="Times New Roman" w:hAnsi="Arial" w:cs="Arial"/>
    </w:rPr>
  </w:style>
  <w:style w:type="paragraph" w:styleId="af0">
    <w:name w:val="No Spacing"/>
    <w:link w:val="af1"/>
    <w:uiPriority w:val="1"/>
    <w:qFormat/>
    <w:rsid w:val="00CB5039"/>
    <w:rPr>
      <w:rFonts w:ascii="Times New Roman" w:hAnsi="Times New Roman"/>
      <w:sz w:val="24"/>
      <w:szCs w:val="16"/>
    </w:rPr>
  </w:style>
  <w:style w:type="character" w:customStyle="1" w:styleId="af1">
    <w:name w:val="Без интервала Знак"/>
    <w:link w:val="af0"/>
    <w:uiPriority w:val="1"/>
    <w:rsid w:val="00CB5039"/>
    <w:rPr>
      <w:rFonts w:ascii="Times New Roman" w:hAnsi="Times New Roman"/>
      <w:sz w:val="24"/>
      <w:szCs w:val="16"/>
      <w:lang w:bidi="ar-SA"/>
    </w:rPr>
  </w:style>
  <w:style w:type="paragraph" w:styleId="af2">
    <w:name w:val="Body Text Indent"/>
    <w:basedOn w:val="a"/>
    <w:link w:val="af3"/>
    <w:uiPriority w:val="99"/>
    <w:semiHidden/>
    <w:unhideWhenUsed/>
    <w:rsid w:val="004F1ACD"/>
    <w:pPr>
      <w:spacing w:after="120"/>
      <w:ind w:left="283"/>
    </w:pPr>
    <w:rPr>
      <w:szCs w:val="20"/>
    </w:rPr>
  </w:style>
  <w:style w:type="character" w:customStyle="1" w:styleId="af3">
    <w:name w:val="Основной текст с отступом Знак"/>
    <w:link w:val="af2"/>
    <w:uiPriority w:val="99"/>
    <w:semiHidden/>
    <w:rsid w:val="004F1ACD"/>
    <w:rPr>
      <w:rFonts w:ascii="Times New Roman" w:eastAsia="Times New Roman" w:hAnsi="Times New Roman"/>
      <w:sz w:val="28"/>
      <w:lang w:eastAsia="ru-RU"/>
    </w:rPr>
  </w:style>
  <w:style w:type="character" w:customStyle="1" w:styleId="ConsPlusNormal0">
    <w:name w:val="ConsPlusNormal Знак"/>
    <w:link w:val="ConsPlusNormal"/>
    <w:rsid w:val="004F1ACD"/>
    <w:rPr>
      <w:rFonts w:ascii="Arial" w:eastAsia="Times New Roman" w:hAnsi="Arial" w:cs="Arial"/>
      <w:lang w:eastAsia="ru-RU" w:bidi="ar-SA"/>
    </w:rPr>
  </w:style>
  <w:style w:type="paragraph" w:customStyle="1" w:styleId="ConsNonformat">
    <w:name w:val="ConsNonformat"/>
    <w:rsid w:val="00DA522B"/>
    <w:pPr>
      <w:widowControl w:val="0"/>
      <w:autoSpaceDE w:val="0"/>
      <w:autoSpaceDN w:val="0"/>
      <w:adjustRightInd w:val="0"/>
      <w:ind w:right="19772"/>
    </w:pPr>
    <w:rPr>
      <w:rFonts w:ascii="Courier New" w:eastAsia="Times New Roman" w:hAnsi="Courier New" w:cs="Courier New"/>
      <w:sz w:val="16"/>
      <w:szCs w:val="16"/>
    </w:rPr>
  </w:style>
  <w:style w:type="character" w:customStyle="1" w:styleId="FontStyle21">
    <w:name w:val="Font Style21"/>
    <w:uiPriority w:val="99"/>
    <w:rsid w:val="00DA522B"/>
    <w:rPr>
      <w:rFonts w:ascii="Times New Roman" w:hAnsi="Times New Roman" w:cs="Times New Roman"/>
      <w:sz w:val="26"/>
      <w:szCs w:val="26"/>
    </w:rPr>
  </w:style>
  <w:style w:type="paragraph" w:styleId="31">
    <w:name w:val="Body Text Indent 3"/>
    <w:basedOn w:val="a"/>
    <w:link w:val="32"/>
    <w:uiPriority w:val="99"/>
    <w:semiHidden/>
    <w:unhideWhenUsed/>
    <w:rsid w:val="0083380D"/>
    <w:pPr>
      <w:spacing w:after="120"/>
      <w:ind w:left="283"/>
    </w:pPr>
    <w:rPr>
      <w:sz w:val="16"/>
      <w:szCs w:val="16"/>
    </w:rPr>
  </w:style>
  <w:style w:type="character" w:customStyle="1" w:styleId="32">
    <w:name w:val="Основной текст с отступом 3 Знак"/>
    <w:link w:val="31"/>
    <w:uiPriority w:val="99"/>
    <w:semiHidden/>
    <w:rsid w:val="0083380D"/>
    <w:rPr>
      <w:rFonts w:ascii="Times New Roman" w:eastAsia="Times New Roman" w:hAnsi="Times New Roman"/>
      <w:sz w:val="16"/>
      <w:szCs w:val="16"/>
      <w:lang w:eastAsia="ru-RU"/>
    </w:rPr>
  </w:style>
  <w:style w:type="table" w:styleId="af4">
    <w:name w:val="Table Grid"/>
    <w:basedOn w:val="a1"/>
    <w:uiPriority w:val="59"/>
    <w:rsid w:val="008338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header"/>
    <w:basedOn w:val="a"/>
    <w:link w:val="af6"/>
    <w:uiPriority w:val="99"/>
    <w:unhideWhenUsed/>
    <w:rsid w:val="00CD51CC"/>
    <w:pPr>
      <w:tabs>
        <w:tab w:val="center" w:pos="4677"/>
        <w:tab w:val="right" w:pos="9355"/>
      </w:tabs>
    </w:pPr>
    <w:rPr>
      <w:szCs w:val="20"/>
    </w:rPr>
  </w:style>
  <w:style w:type="character" w:customStyle="1" w:styleId="af6">
    <w:name w:val="Верхний колонтитул Знак"/>
    <w:link w:val="af5"/>
    <w:uiPriority w:val="99"/>
    <w:rsid w:val="00CD51CC"/>
    <w:rPr>
      <w:rFonts w:ascii="Times New Roman" w:eastAsia="Times New Roman" w:hAnsi="Times New Roman"/>
      <w:sz w:val="28"/>
      <w:lang w:eastAsia="ru-RU"/>
    </w:rPr>
  </w:style>
  <w:style w:type="paragraph" w:styleId="af7">
    <w:name w:val="footer"/>
    <w:basedOn w:val="a"/>
    <w:link w:val="af8"/>
    <w:uiPriority w:val="99"/>
    <w:unhideWhenUsed/>
    <w:rsid w:val="00CD51CC"/>
    <w:pPr>
      <w:tabs>
        <w:tab w:val="center" w:pos="4677"/>
        <w:tab w:val="right" w:pos="9355"/>
      </w:tabs>
    </w:pPr>
    <w:rPr>
      <w:szCs w:val="20"/>
    </w:rPr>
  </w:style>
  <w:style w:type="character" w:customStyle="1" w:styleId="af8">
    <w:name w:val="Нижний колонтитул Знак"/>
    <w:link w:val="af7"/>
    <w:uiPriority w:val="99"/>
    <w:rsid w:val="00CD51CC"/>
    <w:rPr>
      <w:rFonts w:ascii="Times New Roman" w:eastAsia="Times New Roman" w:hAnsi="Times New Roman"/>
      <w:sz w:val="28"/>
      <w:lang w:eastAsia="ru-RU"/>
    </w:rPr>
  </w:style>
  <w:style w:type="paragraph" w:customStyle="1" w:styleId="ListParagraph1">
    <w:name w:val="List Paragraph1"/>
    <w:basedOn w:val="a"/>
    <w:rsid w:val="00DC485D"/>
    <w:pPr>
      <w:ind w:left="720"/>
    </w:pPr>
    <w:rPr>
      <w:rFonts w:eastAsia="Calibri"/>
      <w:lang w:eastAsia="en-US"/>
    </w:rPr>
  </w:style>
  <w:style w:type="character" w:styleId="af9">
    <w:name w:val="Hyperlink"/>
    <w:uiPriority w:val="99"/>
    <w:semiHidden/>
    <w:unhideWhenUsed/>
    <w:rsid w:val="0088448F"/>
    <w:rPr>
      <w:color w:val="0000FF"/>
      <w:u w:val="single"/>
    </w:rPr>
  </w:style>
  <w:style w:type="character" w:customStyle="1" w:styleId="apple-converted-space">
    <w:name w:val="apple-converted-space"/>
    <w:rsid w:val="00FC018A"/>
  </w:style>
  <w:style w:type="paragraph" w:styleId="afa">
    <w:name w:val="Plain Text"/>
    <w:basedOn w:val="a"/>
    <w:link w:val="afb"/>
    <w:rsid w:val="007F64F7"/>
    <w:pPr>
      <w:ind w:firstLine="0"/>
      <w:jc w:val="left"/>
    </w:pPr>
    <w:rPr>
      <w:rFonts w:ascii="Courier New" w:hAnsi="Courier New"/>
      <w:sz w:val="20"/>
      <w:szCs w:val="20"/>
    </w:rPr>
  </w:style>
  <w:style w:type="character" w:customStyle="1" w:styleId="afb">
    <w:name w:val="Текст Знак"/>
    <w:link w:val="afa"/>
    <w:rsid w:val="007F64F7"/>
    <w:rPr>
      <w:rFonts w:ascii="Courier New" w:eastAsia="Times New Roman" w:hAnsi="Courier New"/>
    </w:rPr>
  </w:style>
  <w:style w:type="character" w:styleId="afc">
    <w:name w:val="annotation reference"/>
    <w:uiPriority w:val="99"/>
    <w:semiHidden/>
    <w:unhideWhenUsed/>
    <w:rsid w:val="00E565BA"/>
    <w:rPr>
      <w:sz w:val="16"/>
      <w:szCs w:val="16"/>
    </w:rPr>
  </w:style>
  <w:style w:type="paragraph" w:styleId="afd">
    <w:name w:val="annotation subject"/>
    <w:basedOn w:val="ae"/>
    <w:next w:val="ae"/>
    <w:link w:val="afe"/>
    <w:uiPriority w:val="99"/>
    <w:semiHidden/>
    <w:unhideWhenUsed/>
    <w:rsid w:val="00E565BA"/>
    <w:rPr>
      <w:b/>
      <w:bCs/>
    </w:rPr>
  </w:style>
  <w:style w:type="character" w:customStyle="1" w:styleId="afe">
    <w:name w:val="Тема примечания Знак"/>
    <w:link w:val="afd"/>
    <w:uiPriority w:val="99"/>
    <w:semiHidden/>
    <w:rsid w:val="00E565BA"/>
    <w:rPr>
      <w:rFonts w:ascii="Times New Roman" w:eastAsia="Times New Roman" w:hAnsi="Times New Roman" w:cs="Times New Roman"/>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67382294">
      <w:bodyDiv w:val="1"/>
      <w:marLeft w:val="0"/>
      <w:marRight w:val="0"/>
      <w:marTop w:val="0"/>
      <w:marBottom w:val="0"/>
      <w:divBdr>
        <w:top w:val="none" w:sz="0" w:space="0" w:color="auto"/>
        <w:left w:val="none" w:sz="0" w:space="0" w:color="auto"/>
        <w:bottom w:val="none" w:sz="0" w:space="0" w:color="auto"/>
        <w:right w:val="none" w:sz="0" w:space="0" w:color="auto"/>
      </w:divBdr>
    </w:div>
    <w:div w:id="73405407">
      <w:bodyDiv w:val="1"/>
      <w:marLeft w:val="0"/>
      <w:marRight w:val="0"/>
      <w:marTop w:val="0"/>
      <w:marBottom w:val="0"/>
      <w:divBdr>
        <w:top w:val="none" w:sz="0" w:space="0" w:color="auto"/>
        <w:left w:val="none" w:sz="0" w:space="0" w:color="auto"/>
        <w:bottom w:val="none" w:sz="0" w:space="0" w:color="auto"/>
        <w:right w:val="none" w:sz="0" w:space="0" w:color="auto"/>
      </w:divBdr>
    </w:div>
    <w:div w:id="94987092">
      <w:bodyDiv w:val="1"/>
      <w:marLeft w:val="0"/>
      <w:marRight w:val="0"/>
      <w:marTop w:val="0"/>
      <w:marBottom w:val="0"/>
      <w:divBdr>
        <w:top w:val="none" w:sz="0" w:space="0" w:color="auto"/>
        <w:left w:val="none" w:sz="0" w:space="0" w:color="auto"/>
        <w:bottom w:val="none" w:sz="0" w:space="0" w:color="auto"/>
        <w:right w:val="none" w:sz="0" w:space="0" w:color="auto"/>
      </w:divBdr>
    </w:div>
    <w:div w:id="167257018">
      <w:bodyDiv w:val="1"/>
      <w:marLeft w:val="0"/>
      <w:marRight w:val="0"/>
      <w:marTop w:val="0"/>
      <w:marBottom w:val="0"/>
      <w:divBdr>
        <w:top w:val="none" w:sz="0" w:space="0" w:color="auto"/>
        <w:left w:val="none" w:sz="0" w:space="0" w:color="auto"/>
        <w:bottom w:val="none" w:sz="0" w:space="0" w:color="auto"/>
        <w:right w:val="none" w:sz="0" w:space="0" w:color="auto"/>
      </w:divBdr>
    </w:div>
    <w:div w:id="199784318">
      <w:bodyDiv w:val="1"/>
      <w:marLeft w:val="0"/>
      <w:marRight w:val="0"/>
      <w:marTop w:val="0"/>
      <w:marBottom w:val="0"/>
      <w:divBdr>
        <w:top w:val="none" w:sz="0" w:space="0" w:color="auto"/>
        <w:left w:val="none" w:sz="0" w:space="0" w:color="auto"/>
        <w:bottom w:val="none" w:sz="0" w:space="0" w:color="auto"/>
        <w:right w:val="none" w:sz="0" w:space="0" w:color="auto"/>
      </w:divBdr>
    </w:div>
    <w:div w:id="269166200">
      <w:bodyDiv w:val="1"/>
      <w:marLeft w:val="0"/>
      <w:marRight w:val="0"/>
      <w:marTop w:val="0"/>
      <w:marBottom w:val="0"/>
      <w:divBdr>
        <w:top w:val="none" w:sz="0" w:space="0" w:color="auto"/>
        <w:left w:val="none" w:sz="0" w:space="0" w:color="auto"/>
        <w:bottom w:val="none" w:sz="0" w:space="0" w:color="auto"/>
        <w:right w:val="none" w:sz="0" w:space="0" w:color="auto"/>
      </w:divBdr>
    </w:div>
    <w:div w:id="281687905">
      <w:bodyDiv w:val="1"/>
      <w:marLeft w:val="0"/>
      <w:marRight w:val="0"/>
      <w:marTop w:val="0"/>
      <w:marBottom w:val="0"/>
      <w:divBdr>
        <w:top w:val="none" w:sz="0" w:space="0" w:color="auto"/>
        <w:left w:val="none" w:sz="0" w:space="0" w:color="auto"/>
        <w:bottom w:val="none" w:sz="0" w:space="0" w:color="auto"/>
        <w:right w:val="none" w:sz="0" w:space="0" w:color="auto"/>
      </w:divBdr>
    </w:div>
    <w:div w:id="361248704">
      <w:bodyDiv w:val="1"/>
      <w:marLeft w:val="0"/>
      <w:marRight w:val="0"/>
      <w:marTop w:val="0"/>
      <w:marBottom w:val="0"/>
      <w:divBdr>
        <w:top w:val="none" w:sz="0" w:space="0" w:color="auto"/>
        <w:left w:val="none" w:sz="0" w:space="0" w:color="auto"/>
        <w:bottom w:val="none" w:sz="0" w:space="0" w:color="auto"/>
        <w:right w:val="none" w:sz="0" w:space="0" w:color="auto"/>
      </w:divBdr>
    </w:div>
    <w:div w:id="382679062">
      <w:bodyDiv w:val="1"/>
      <w:marLeft w:val="0"/>
      <w:marRight w:val="0"/>
      <w:marTop w:val="0"/>
      <w:marBottom w:val="0"/>
      <w:divBdr>
        <w:top w:val="none" w:sz="0" w:space="0" w:color="auto"/>
        <w:left w:val="none" w:sz="0" w:space="0" w:color="auto"/>
        <w:bottom w:val="none" w:sz="0" w:space="0" w:color="auto"/>
        <w:right w:val="none" w:sz="0" w:space="0" w:color="auto"/>
      </w:divBdr>
    </w:div>
    <w:div w:id="544023771">
      <w:bodyDiv w:val="1"/>
      <w:marLeft w:val="0"/>
      <w:marRight w:val="0"/>
      <w:marTop w:val="0"/>
      <w:marBottom w:val="0"/>
      <w:divBdr>
        <w:top w:val="none" w:sz="0" w:space="0" w:color="auto"/>
        <w:left w:val="none" w:sz="0" w:space="0" w:color="auto"/>
        <w:bottom w:val="none" w:sz="0" w:space="0" w:color="auto"/>
        <w:right w:val="none" w:sz="0" w:space="0" w:color="auto"/>
      </w:divBdr>
    </w:div>
    <w:div w:id="548566826">
      <w:bodyDiv w:val="1"/>
      <w:marLeft w:val="0"/>
      <w:marRight w:val="0"/>
      <w:marTop w:val="0"/>
      <w:marBottom w:val="0"/>
      <w:divBdr>
        <w:top w:val="none" w:sz="0" w:space="0" w:color="auto"/>
        <w:left w:val="none" w:sz="0" w:space="0" w:color="auto"/>
        <w:bottom w:val="none" w:sz="0" w:space="0" w:color="auto"/>
        <w:right w:val="none" w:sz="0" w:space="0" w:color="auto"/>
      </w:divBdr>
    </w:div>
    <w:div w:id="579754607">
      <w:bodyDiv w:val="1"/>
      <w:marLeft w:val="0"/>
      <w:marRight w:val="0"/>
      <w:marTop w:val="0"/>
      <w:marBottom w:val="0"/>
      <w:divBdr>
        <w:top w:val="none" w:sz="0" w:space="0" w:color="auto"/>
        <w:left w:val="none" w:sz="0" w:space="0" w:color="auto"/>
        <w:bottom w:val="none" w:sz="0" w:space="0" w:color="auto"/>
        <w:right w:val="none" w:sz="0" w:space="0" w:color="auto"/>
      </w:divBdr>
    </w:div>
    <w:div w:id="581528226">
      <w:bodyDiv w:val="1"/>
      <w:marLeft w:val="0"/>
      <w:marRight w:val="0"/>
      <w:marTop w:val="0"/>
      <w:marBottom w:val="0"/>
      <w:divBdr>
        <w:top w:val="none" w:sz="0" w:space="0" w:color="auto"/>
        <w:left w:val="none" w:sz="0" w:space="0" w:color="auto"/>
        <w:bottom w:val="none" w:sz="0" w:space="0" w:color="auto"/>
        <w:right w:val="none" w:sz="0" w:space="0" w:color="auto"/>
      </w:divBdr>
    </w:div>
    <w:div w:id="666514220">
      <w:bodyDiv w:val="1"/>
      <w:marLeft w:val="0"/>
      <w:marRight w:val="0"/>
      <w:marTop w:val="0"/>
      <w:marBottom w:val="0"/>
      <w:divBdr>
        <w:top w:val="none" w:sz="0" w:space="0" w:color="auto"/>
        <w:left w:val="none" w:sz="0" w:space="0" w:color="auto"/>
        <w:bottom w:val="none" w:sz="0" w:space="0" w:color="auto"/>
        <w:right w:val="none" w:sz="0" w:space="0" w:color="auto"/>
      </w:divBdr>
    </w:div>
    <w:div w:id="704601411">
      <w:bodyDiv w:val="1"/>
      <w:marLeft w:val="0"/>
      <w:marRight w:val="0"/>
      <w:marTop w:val="0"/>
      <w:marBottom w:val="0"/>
      <w:divBdr>
        <w:top w:val="none" w:sz="0" w:space="0" w:color="auto"/>
        <w:left w:val="none" w:sz="0" w:space="0" w:color="auto"/>
        <w:bottom w:val="none" w:sz="0" w:space="0" w:color="auto"/>
        <w:right w:val="none" w:sz="0" w:space="0" w:color="auto"/>
      </w:divBdr>
    </w:div>
    <w:div w:id="735125097">
      <w:bodyDiv w:val="1"/>
      <w:marLeft w:val="0"/>
      <w:marRight w:val="0"/>
      <w:marTop w:val="0"/>
      <w:marBottom w:val="0"/>
      <w:divBdr>
        <w:top w:val="none" w:sz="0" w:space="0" w:color="auto"/>
        <w:left w:val="none" w:sz="0" w:space="0" w:color="auto"/>
        <w:bottom w:val="none" w:sz="0" w:space="0" w:color="auto"/>
        <w:right w:val="none" w:sz="0" w:space="0" w:color="auto"/>
      </w:divBdr>
    </w:div>
    <w:div w:id="782726813">
      <w:bodyDiv w:val="1"/>
      <w:marLeft w:val="0"/>
      <w:marRight w:val="0"/>
      <w:marTop w:val="0"/>
      <w:marBottom w:val="0"/>
      <w:divBdr>
        <w:top w:val="none" w:sz="0" w:space="0" w:color="auto"/>
        <w:left w:val="none" w:sz="0" w:space="0" w:color="auto"/>
        <w:bottom w:val="none" w:sz="0" w:space="0" w:color="auto"/>
        <w:right w:val="none" w:sz="0" w:space="0" w:color="auto"/>
      </w:divBdr>
    </w:div>
    <w:div w:id="809637917">
      <w:bodyDiv w:val="1"/>
      <w:marLeft w:val="0"/>
      <w:marRight w:val="0"/>
      <w:marTop w:val="0"/>
      <w:marBottom w:val="0"/>
      <w:divBdr>
        <w:top w:val="none" w:sz="0" w:space="0" w:color="auto"/>
        <w:left w:val="none" w:sz="0" w:space="0" w:color="auto"/>
        <w:bottom w:val="none" w:sz="0" w:space="0" w:color="auto"/>
        <w:right w:val="none" w:sz="0" w:space="0" w:color="auto"/>
      </w:divBdr>
    </w:div>
    <w:div w:id="854154429">
      <w:bodyDiv w:val="1"/>
      <w:marLeft w:val="0"/>
      <w:marRight w:val="0"/>
      <w:marTop w:val="0"/>
      <w:marBottom w:val="0"/>
      <w:divBdr>
        <w:top w:val="none" w:sz="0" w:space="0" w:color="auto"/>
        <w:left w:val="none" w:sz="0" w:space="0" w:color="auto"/>
        <w:bottom w:val="none" w:sz="0" w:space="0" w:color="auto"/>
        <w:right w:val="none" w:sz="0" w:space="0" w:color="auto"/>
      </w:divBdr>
    </w:div>
    <w:div w:id="911431364">
      <w:bodyDiv w:val="1"/>
      <w:marLeft w:val="0"/>
      <w:marRight w:val="0"/>
      <w:marTop w:val="0"/>
      <w:marBottom w:val="0"/>
      <w:divBdr>
        <w:top w:val="none" w:sz="0" w:space="0" w:color="auto"/>
        <w:left w:val="none" w:sz="0" w:space="0" w:color="auto"/>
        <w:bottom w:val="none" w:sz="0" w:space="0" w:color="auto"/>
        <w:right w:val="none" w:sz="0" w:space="0" w:color="auto"/>
      </w:divBdr>
    </w:div>
    <w:div w:id="920678669">
      <w:bodyDiv w:val="1"/>
      <w:marLeft w:val="0"/>
      <w:marRight w:val="0"/>
      <w:marTop w:val="0"/>
      <w:marBottom w:val="0"/>
      <w:divBdr>
        <w:top w:val="none" w:sz="0" w:space="0" w:color="auto"/>
        <w:left w:val="none" w:sz="0" w:space="0" w:color="auto"/>
        <w:bottom w:val="none" w:sz="0" w:space="0" w:color="auto"/>
        <w:right w:val="none" w:sz="0" w:space="0" w:color="auto"/>
      </w:divBdr>
    </w:div>
    <w:div w:id="956259192">
      <w:bodyDiv w:val="1"/>
      <w:marLeft w:val="0"/>
      <w:marRight w:val="0"/>
      <w:marTop w:val="0"/>
      <w:marBottom w:val="0"/>
      <w:divBdr>
        <w:top w:val="none" w:sz="0" w:space="0" w:color="auto"/>
        <w:left w:val="none" w:sz="0" w:space="0" w:color="auto"/>
        <w:bottom w:val="none" w:sz="0" w:space="0" w:color="auto"/>
        <w:right w:val="none" w:sz="0" w:space="0" w:color="auto"/>
      </w:divBdr>
    </w:div>
    <w:div w:id="967710910">
      <w:bodyDiv w:val="1"/>
      <w:marLeft w:val="0"/>
      <w:marRight w:val="0"/>
      <w:marTop w:val="0"/>
      <w:marBottom w:val="0"/>
      <w:divBdr>
        <w:top w:val="none" w:sz="0" w:space="0" w:color="auto"/>
        <w:left w:val="none" w:sz="0" w:space="0" w:color="auto"/>
        <w:bottom w:val="none" w:sz="0" w:space="0" w:color="auto"/>
        <w:right w:val="none" w:sz="0" w:space="0" w:color="auto"/>
      </w:divBdr>
    </w:div>
    <w:div w:id="999774462">
      <w:bodyDiv w:val="1"/>
      <w:marLeft w:val="0"/>
      <w:marRight w:val="0"/>
      <w:marTop w:val="0"/>
      <w:marBottom w:val="0"/>
      <w:divBdr>
        <w:top w:val="none" w:sz="0" w:space="0" w:color="auto"/>
        <w:left w:val="none" w:sz="0" w:space="0" w:color="auto"/>
        <w:bottom w:val="none" w:sz="0" w:space="0" w:color="auto"/>
        <w:right w:val="none" w:sz="0" w:space="0" w:color="auto"/>
      </w:divBdr>
    </w:div>
    <w:div w:id="1019817437">
      <w:bodyDiv w:val="1"/>
      <w:marLeft w:val="0"/>
      <w:marRight w:val="0"/>
      <w:marTop w:val="0"/>
      <w:marBottom w:val="0"/>
      <w:divBdr>
        <w:top w:val="none" w:sz="0" w:space="0" w:color="auto"/>
        <w:left w:val="none" w:sz="0" w:space="0" w:color="auto"/>
        <w:bottom w:val="none" w:sz="0" w:space="0" w:color="auto"/>
        <w:right w:val="none" w:sz="0" w:space="0" w:color="auto"/>
      </w:divBdr>
    </w:div>
    <w:div w:id="1035500557">
      <w:bodyDiv w:val="1"/>
      <w:marLeft w:val="0"/>
      <w:marRight w:val="0"/>
      <w:marTop w:val="0"/>
      <w:marBottom w:val="0"/>
      <w:divBdr>
        <w:top w:val="none" w:sz="0" w:space="0" w:color="auto"/>
        <w:left w:val="none" w:sz="0" w:space="0" w:color="auto"/>
        <w:bottom w:val="none" w:sz="0" w:space="0" w:color="auto"/>
        <w:right w:val="none" w:sz="0" w:space="0" w:color="auto"/>
      </w:divBdr>
    </w:div>
    <w:div w:id="1069425000">
      <w:bodyDiv w:val="1"/>
      <w:marLeft w:val="0"/>
      <w:marRight w:val="0"/>
      <w:marTop w:val="0"/>
      <w:marBottom w:val="0"/>
      <w:divBdr>
        <w:top w:val="none" w:sz="0" w:space="0" w:color="auto"/>
        <w:left w:val="none" w:sz="0" w:space="0" w:color="auto"/>
        <w:bottom w:val="none" w:sz="0" w:space="0" w:color="auto"/>
        <w:right w:val="none" w:sz="0" w:space="0" w:color="auto"/>
      </w:divBdr>
    </w:div>
    <w:div w:id="1085877736">
      <w:bodyDiv w:val="1"/>
      <w:marLeft w:val="0"/>
      <w:marRight w:val="0"/>
      <w:marTop w:val="0"/>
      <w:marBottom w:val="0"/>
      <w:divBdr>
        <w:top w:val="none" w:sz="0" w:space="0" w:color="auto"/>
        <w:left w:val="none" w:sz="0" w:space="0" w:color="auto"/>
        <w:bottom w:val="none" w:sz="0" w:space="0" w:color="auto"/>
        <w:right w:val="none" w:sz="0" w:space="0" w:color="auto"/>
      </w:divBdr>
    </w:div>
    <w:div w:id="1089885306">
      <w:bodyDiv w:val="1"/>
      <w:marLeft w:val="0"/>
      <w:marRight w:val="0"/>
      <w:marTop w:val="0"/>
      <w:marBottom w:val="0"/>
      <w:divBdr>
        <w:top w:val="none" w:sz="0" w:space="0" w:color="auto"/>
        <w:left w:val="none" w:sz="0" w:space="0" w:color="auto"/>
        <w:bottom w:val="none" w:sz="0" w:space="0" w:color="auto"/>
        <w:right w:val="none" w:sz="0" w:space="0" w:color="auto"/>
      </w:divBdr>
    </w:div>
    <w:div w:id="1106388979">
      <w:bodyDiv w:val="1"/>
      <w:marLeft w:val="0"/>
      <w:marRight w:val="0"/>
      <w:marTop w:val="0"/>
      <w:marBottom w:val="0"/>
      <w:divBdr>
        <w:top w:val="none" w:sz="0" w:space="0" w:color="auto"/>
        <w:left w:val="none" w:sz="0" w:space="0" w:color="auto"/>
        <w:bottom w:val="none" w:sz="0" w:space="0" w:color="auto"/>
        <w:right w:val="none" w:sz="0" w:space="0" w:color="auto"/>
      </w:divBdr>
    </w:div>
    <w:div w:id="1164206971">
      <w:bodyDiv w:val="1"/>
      <w:marLeft w:val="0"/>
      <w:marRight w:val="0"/>
      <w:marTop w:val="0"/>
      <w:marBottom w:val="0"/>
      <w:divBdr>
        <w:top w:val="none" w:sz="0" w:space="0" w:color="auto"/>
        <w:left w:val="none" w:sz="0" w:space="0" w:color="auto"/>
        <w:bottom w:val="none" w:sz="0" w:space="0" w:color="auto"/>
        <w:right w:val="none" w:sz="0" w:space="0" w:color="auto"/>
      </w:divBdr>
    </w:div>
    <w:div w:id="1198615284">
      <w:bodyDiv w:val="1"/>
      <w:marLeft w:val="0"/>
      <w:marRight w:val="0"/>
      <w:marTop w:val="0"/>
      <w:marBottom w:val="0"/>
      <w:divBdr>
        <w:top w:val="none" w:sz="0" w:space="0" w:color="auto"/>
        <w:left w:val="none" w:sz="0" w:space="0" w:color="auto"/>
        <w:bottom w:val="none" w:sz="0" w:space="0" w:color="auto"/>
        <w:right w:val="none" w:sz="0" w:space="0" w:color="auto"/>
      </w:divBdr>
    </w:div>
    <w:div w:id="1213350540">
      <w:bodyDiv w:val="1"/>
      <w:marLeft w:val="0"/>
      <w:marRight w:val="0"/>
      <w:marTop w:val="0"/>
      <w:marBottom w:val="0"/>
      <w:divBdr>
        <w:top w:val="none" w:sz="0" w:space="0" w:color="auto"/>
        <w:left w:val="none" w:sz="0" w:space="0" w:color="auto"/>
        <w:bottom w:val="none" w:sz="0" w:space="0" w:color="auto"/>
        <w:right w:val="none" w:sz="0" w:space="0" w:color="auto"/>
      </w:divBdr>
    </w:div>
    <w:div w:id="1232036186">
      <w:bodyDiv w:val="1"/>
      <w:marLeft w:val="0"/>
      <w:marRight w:val="0"/>
      <w:marTop w:val="0"/>
      <w:marBottom w:val="0"/>
      <w:divBdr>
        <w:top w:val="none" w:sz="0" w:space="0" w:color="auto"/>
        <w:left w:val="none" w:sz="0" w:space="0" w:color="auto"/>
        <w:bottom w:val="none" w:sz="0" w:space="0" w:color="auto"/>
        <w:right w:val="none" w:sz="0" w:space="0" w:color="auto"/>
      </w:divBdr>
    </w:div>
    <w:div w:id="1264722109">
      <w:bodyDiv w:val="1"/>
      <w:marLeft w:val="0"/>
      <w:marRight w:val="0"/>
      <w:marTop w:val="0"/>
      <w:marBottom w:val="0"/>
      <w:divBdr>
        <w:top w:val="none" w:sz="0" w:space="0" w:color="auto"/>
        <w:left w:val="none" w:sz="0" w:space="0" w:color="auto"/>
        <w:bottom w:val="none" w:sz="0" w:space="0" w:color="auto"/>
        <w:right w:val="none" w:sz="0" w:space="0" w:color="auto"/>
      </w:divBdr>
    </w:div>
    <w:div w:id="1298298030">
      <w:bodyDiv w:val="1"/>
      <w:marLeft w:val="0"/>
      <w:marRight w:val="0"/>
      <w:marTop w:val="0"/>
      <w:marBottom w:val="0"/>
      <w:divBdr>
        <w:top w:val="none" w:sz="0" w:space="0" w:color="auto"/>
        <w:left w:val="none" w:sz="0" w:space="0" w:color="auto"/>
        <w:bottom w:val="none" w:sz="0" w:space="0" w:color="auto"/>
        <w:right w:val="none" w:sz="0" w:space="0" w:color="auto"/>
      </w:divBdr>
    </w:div>
    <w:div w:id="1339886695">
      <w:bodyDiv w:val="1"/>
      <w:marLeft w:val="0"/>
      <w:marRight w:val="0"/>
      <w:marTop w:val="0"/>
      <w:marBottom w:val="0"/>
      <w:divBdr>
        <w:top w:val="none" w:sz="0" w:space="0" w:color="auto"/>
        <w:left w:val="none" w:sz="0" w:space="0" w:color="auto"/>
        <w:bottom w:val="none" w:sz="0" w:space="0" w:color="auto"/>
        <w:right w:val="none" w:sz="0" w:space="0" w:color="auto"/>
      </w:divBdr>
    </w:div>
    <w:div w:id="1375733107">
      <w:bodyDiv w:val="1"/>
      <w:marLeft w:val="0"/>
      <w:marRight w:val="0"/>
      <w:marTop w:val="0"/>
      <w:marBottom w:val="0"/>
      <w:divBdr>
        <w:top w:val="none" w:sz="0" w:space="0" w:color="auto"/>
        <w:left w:val="none" w:sz="0" w:space="0" w:color="auto"/>
        <w:bottom w:val="none" w:sz="0" w:space="0" w:color="auto"/>
        <w:right w:val="none" w:sz="0" w:space="0" w:color="auto"/>
      </w:divBdr>
    </w:div>
    <w:div w:id="1410300096">
      <w:bodyDiv w:val="1"/>
      <w:marLeft w:val="0"/>
      <w:marRight w:val="0"/>
      <w:marTop w:val="0"/>
      <w:marBottom w:val="0"/>
      <w:divBdr>
        <w:top w:val="none" w:sz="0" w:space="0" w:color="auto"/>
        <w:left w:val="none" w:sz="0" w:space="0" w:color="auto"/>
        <w:bottom w:val="none" w:sz="0" w:space="0" w:color="auto"/>
        <w:right w:val="none" w:sz="0" w:space="0" w:color="auto"/>
      </w:divBdr>
    </w:div>
    <w:div w:id="1444152957">
      <w:bodyDiv w:val="1"/>
      <w:marLeft w:val="0"/>
      <w:marRight w:val="0"/>
      <w:marTop w:val="0"/>
      <w:marBottom w:val="0"/>
      <w:divBdr>
        <w:top w:val="none" w:sz="0" w:space="0" w:color="auto"/>
        <w:left w:val="none" w:sz="0" w:space="0" w:color="auto"/>
        <w:bottom w:val="none" w:sz="0" w:space="0" w:color="auto"/>
        <w:right w:val="none" w:sz="0" w:space="0" w:color="auto"/>
      </w:divBdr>
    </w:div>
    <w:div w:id="1481992873">
      <w:bodyDiv w:val="1"/>
      <w:marLeft w:val="0"/>
      <w:marRight w:val="0"/>
      <w:marTop w:val="0"/>
      <w:marBottom w:val="0"/>
      <w:divBdr>
        <w:top w:val="none" w:sz="0" w:space="0" w:color="auto"/>
        <w:left w:val="none" w:sz="0" w:space="0" w:color="auto"/>
        <w:bottom w:val="none" w:sz="0" w:space="0" w:color="auto"/>
        <w:right w:val="none" w:sz="0" w:space="0" w:color="auto"/>
      </w:divBdr>
    </w:div>
    <w:div w:id="1489436879">
      <w:bodyDiv w:val="1"/>
      <w:marLeft w:val="0"/>
      <w:marRight w:val="0"/>
      <w:marTop w:val="0"/>
      <w:marBottom w:val="0"/>
      <w:divBdr>
        <w:top w:val="none" w:sz="0" w:space="0" w:color="auto"/>
        <w:left w:val="none" w:sz="0" w:space="0" w:color="auto"/>
        <w:bottom w:val="none" w:sz="0" w:space="0" w:color="auto"/>
        <w:right w:val="none" w:sz="0" w:space="0" w:color="auto"/>
      </w:divBdr>
    </w:div>
    <w:div w:id="1601909867">
      <w:bodyDiv w:val="1"/>
      <w:marLeft w:val="0"/>
      <w:marRight w:val="0"/>
      <w:marTop w:val="0"/>
      <w:marBottom w:val="0"/>
      <w:divBdr>
        <w:top w:val="none" w:sz="0" w:space="0" w:color="auto"/>
        <w:left w:val="none" w:sz="0" w:space="0" w:color="auto"/>
        <w:bottom w:val="none" w:sz="0" w:space="0" w:color="auto"/>
        <w:right w:val="none" w:sz="0" w:space="0" w:color="auto"/>
      </w:divBdr>
    </w:div>
    <w:div w:id="1607270881">
      <w:bodyDiv w:val="1"/>
      <w:marLeft w:val="0"/>
      <w:marRight w:val="0"/>
      <w:marTop w:val="0"/>
      <w:marBottom w:val="0"/>
      <w:divBdr>
        <w:top w:val="none" w:sz="0" w:space="0" w:color="auto"/>
        <w:left w:val="none" w:sz="0" w:space="0" w:color="auto"/>
        <w:bottom w:val="none" w:sz="0" w:space="0" w:color="auto"/>
        <w:right w:val="none" w:sz="0" w:space="0" w:color="auto"/>
      </w:divBdr>
    </w:div>
    <w:div w:id="1713575660">
      <w:bodyDiv w:val="1"/>
      <w:marLeft w:val="0"/>
      <w:marRight w:val="0"/>
      <w:marTop w:val="0"/>
      <w:marBottom w:val="0"/>
      <w:divBdr>
        <w:top w:val="none" w:sz="0" w:space="0" w:color="auto"/>
        <w:left w:val="none" w:sz="0" w:space="0" w:color="auto"/>
        <w:bottom w:val="none" w:sz="0" w:space="0" w:color="auto"/>
        <w:right w:val="none" w:sz="0" w:space="0" w:color="auto"/>
      </w:divBdr>
    </w:div>
    <w:div w:id="1866628844">
      <w:bodyDiv w:val="1"/>
      <w:marLeft w:val="0"/>
      <w:marRight w:val="0"/>
      <w:marTop w:val="0"/>
      <w:marBottom w:val="0"/>
      <w:divBdr>
        <w:top w:val="none" w:sz="0" w:space="0" w:color="auto"/>
        <w:left w:val="none" w:sz="0" w:space="0" w:color="auto"/>
        <w:bottom w:val="none" w:sz="0" w:space="0" w:color="auto"/>
        <w:right w:val="none" w:sz="0" w:space="0" w:color="auto"/>
      </w:divBdr>
    </w:div>
    <w:div w:id="1913271096">
      <w:bodyDiv w:val="1"/>
      <w:marLeft w:val="0"/>
      <w:marRight w:val="0"/>
      <w:marTop w:val="0"/>
      <w:marBottom w:val="0"/>
      <w:divBdr>
        <w:top w:val="none" w:sz="0" w:space="0" w:color="auto"/>
        <w:left w:val="none" w:sz="0" w:space="0" w:color="auto"/>
        <w:bottom w:val="none" w:sz="0" w:space="0" w:color="auto"/>
        <w:right w:val="none" w:sz="0" w:space="0" w:color="auto"/>
      </w:divBdr>
    </w:div>
    <w:div w:id="2018075416">
      <w:bodyDiv w:val="1"/>
      <w:marLeft w:val="0"/>
      <w:marRight w:val="0"/>
      <w:marTop w:val="0"/>
      <w:marBottom w:val="0"/>
      <w:divBdr>
        <w:top w:val="none" w:sz="0" w:space="0" w:color="auto"/>
        <w:left w:val="none" w:sz="0" w:space="0" w:color="auto"/>
        <w:bottom w:val="none" w:sz="0" w:space="0" w:color="auto"/>
        <w:right w:val="none" w:sz="0" w:space="0" w:color="auto"/>
      </w:divBdr>
    </w:div>
    <w:div w:id="2091350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1" Type="http://schemas.openxmlformats.org/officeDocument/2006/relationships/oleObject" Target="file:///\\altos2\econom\OTDELY\10\&#1043;&#1055;\&#1054;&#1090;&#1095;&#1077;&#1090;&#1099;\2020\&#1075;&#1086;&#1076;\&#1054;&#1090;&#1095;&#1077;&#1090;%20&#1087;&#1086;%20&#1043;&#1055;%20&#1079;&#1072;%202020%20&#1075;&#1086;&#1076;_&#1048;&#1058;&#1054;&#1043;.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altos2\econom\OTDELY\10\&#1043;&#1055;\&#1054;&#1090;&#1095;&#1077;&#1090;&#1099;\2020\&#1075;&#1086;&#1076;\&#1054;&#1090;&#1095;&#1077;&#1090;%20&#1087;&#1086;%20&#1043;&#1055;%20&#1079;&#1072;%202020%20&#1075;&#1086;&#1076;_23.05.2021.xlsx" TargetMode="External"/></Relationships>
</file>

<file path=word/charts/_rels/chart3.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Office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400"/>
            </a:pPr>
            <a:r>
              <a:rPr lang="ru-RU" sz="1400"/>
              <a:t>Достижение плановых значений показателей государственных программ (К1)</a:t>
            </a:r>
          </a:p>
        </c:rich>
      </c:tx>
      <c:layout/>
    </c:title>
    <c:plotArea>
      <c:layout>
        <c:manualLayout>
          <c:layoutTarget val="inner"/>
          <c:xMode val="edge"/>
          <c:yMode val="edge"/>
          <c:x val="5.8669147846897286E-2"/>
          <c:y val="0.1720736438745136"/>
          <c:w val="0.35720681088386463"/>
          <c:h val="0.79489303297790215"/>
        </c:manualLayout>
      </c:layout>
      <c:doughnutChart>
        <c:varyColors val="1"/>
        <c:ser>
          <c:idx val="0"/>
          <c:order val="0"/>
          <c:spPr>
            <a:ln>
              <a:solidFill>
                <a:schemeClr val="tx1">
                  <a:lumMod val="65000"/>
                  <a:lumOff val="35000"/>
                </a:schemeClr>
              </a:solidFill>
            </a:ln>
          </c:spPr>
          <c:explosion val="5"/>
          <c:dLbls>
            <c:spPr>
              <a:solidFill>
                <a:schemeClr val="bg1"/>
              </a:solidFill>
              <a:ln>
                <a:solidFill>
                  <a:schemeClr val="tx1">
                    <a:lumMod val="65000"/>
                    <a:lumOff val="35000"/>
                  </a:schemeClr>
                </a:solidFill>
              </a:ln>
            </c:spPr>
            <c:txPr>
              <a:bodyPr/>
              <a:lstStyle/>
              <a:p>
                <a:pPr>
                  <a:defRPr sz="1100"/>
                </a:pPr>
                <a:endParaRPr lang="ru-RU"/>
              </a:p>
            </c:txPr>
            <c:showVal val="1"/>
            <c:showLeaderLines val="1"/>
            <c:extLst>
              <c:ext xmlns:c15="http://schemas.microsoft.com/office/drawing/2012/chart" uri="{CE6537A1-D6FC-4f65-9D91-7224C49458BB}">
                <c15:layout/>
              </c:ext>
            </c:extLst>
          </c:dLbls>
          <c:cat>
            <c:strRef>
              <c:f>'1. Показатели'!$S$4:$W$4</c:f>
              <c:strCache>
                <c:ptCount val="5"/>
                <c:pt idx="0">
                  <c:v>Данные о фактических значениях отсутствуют</c:v>
                </c:pt>
                <c:pt idx="1">
                  <c:v>Значительно перевыполнены (более 150%)</c:v>
                </c:pt>
                <c:pt idx="2">
                  <c:v>Высокая степень (от 99,5 до 150%)</c:v>
                </c:pt>
                <c:pt idx="3">
                  <c:v>Средняя степень (от 85 до 99,5%)</c:v>
                </c:pt>
                <c:pt idx="4">
                  <c:v>Низкая степень (ниже 85%)</c:v>
                </c:pt>
              </c:strCache>
            </c:strRef>
          </c:cat>
          <c:val>
            <c:numRef>
              <c:f>'1. Показатели'!$S$5:$W$5</c:f>
              <c:numCache>
                <c:formatCode>General</c:formatCode>
                <c:ptCount val="5"/>
                <c:pt idx="0">
                  <c:v>37</c:v>
                </c:pt>
                <c:pt idx="1">
                  <c:v>45</c:v>
                </c:pt>
                <c:pt idx="2">
                  <c:v>345</c:v>
                </c:pt>
                <c:pt idx="3">
                  <c:v>50</c:v>
                </c:pt>
                <c:pt idx="4">
                  <c:v>65</c:v>
                </c:pt>
              </c:numCache>
            </c:numRef>
          </c:val>
        </c:ser>
        <c:dLbls>
          <c:showVal val="1"/>
        </c:dLbls>
        <c:firstSliceAng val="0"/>
        <c:holeSize val="67"/>
      </c:doughnutChart>
      <c:spPr>
        <a:scene3d>
          <a:camera prst="orthographicFront"/>
          <a:lightRig rig="threePt" dir="t"/>
        </a:scene3d>
        <a:sp3d>
          <a:bevelT w="190500" h="38100"/>
        </a:sp3d>
      </c:spPr>
    </c:plotArea>
    <c:legend>
      <c:legendPos val="r"/>
      <c:layout>
        <c:manualLayout>
          <c:xMode val="edge"/>
          <c:yMode val="edge"/>
          <c:x val="0.46248503250819123"/>
          <c:y val="0.40515640114121232"/>
          <c:w val="0.5263216852795366"/>
          <c:h val="0.47927409447498881"/>
        </c:manualLayout>
      </c:layout>
      <c:txPr>
        <a:bodyPr/>
        <a:lstStyle/>
        <a:p>
          <a:pPr rtl="0">
            <a:defRPr sz="1200"/>
          </a:pPr>
          <a:endParaRPr lang="ru-RU"/>
        </a:p>
      </c:txPr>
    </c:legend>
    <c:plotVisOnly val="1"/>
    <c:dispBlanksAs val="zero"/>
  </c:chart>
  <c:txPr>
    <a:bodyPr/>
    <a:lstStyle/>
    <a:p>
      <a:pPr>
        <a:defRPr>
          <a:latin typeface="Times New Roman" pitchFamily="18" charset="0"/>
          <a:cs typeface="Times New Roman" pitchFamily="18" charset="0"/>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0676872227202353"/>
          <c:y val="0.1827943278740608"/>
          <c:w val="0.34090178636393498"/>
          <c:h val="0.77321259688764477"/>
        </c:manualLayout>
      </c:layout>
      <c:doughnutChart>
        <c:varyColors val="1"/>
        <c:ser>
          <c:idx val="0"/>
          <c:order val="0"/>
          <c:dPt>
            <c:idx val="1"/>
            <c:spPr>
              <a:solidFill>
                <a:schemeClr val="accent3">
                  <a:lumMod val="60000"/>
                  <a:lumOff val="40000"/>
                </a:schemeClr>
              </a:solidFill>
            </c:spPr>
          </c:dPt>
          <c:dPt>
            <c:idx val="2"/>
            <c:spPr>
              <a:solidFill>
                <a:srgbClr val="FF0000"/>
              </a:solidFill>
            </c:spPr>
          </c:dPt>
          <c:dLbls>
            <c:spPr>
              <a:solidFill>
                <a:schemeClr val="bg1"/>
              </a:solidFill>
            </c:spPr>
            <c:txPr>
              <a:bodyPr/>
              <a:lstStyle/>
              <a:p>
                <a:pPr>
                  <a:defRPr sz="1400"/>
                </a:pPr>
                <a:endParaRPr lang="ru-RU"/>
              </a:p>
            </c:txPr>
            <c:showVal val="1"/>
            <c:showLeaderLines val="1"/>
            <c:extLst>
              <c:ext xmlns:c15="http://schemas.microsoft.com/office/drawing/2012/chart" uri="{CE6537A1-D6FC-4f65-9D91-7224C49458BB}">
                <c15:layout/>
              </c:ext>
            </c:extLst>
          </c:dLbls>
          <c:cat>
            <c:strRef>
              <c:f>'1. Показатели'!$Z$4:$AB$4</c:f>
              <c:strCache>
                <c:ptCount val="3"/>
                <c:pt idx="0">
                  <c:v>Положительная динамика (К2≥101%)</c:v>
                </c:pt>
                <c:pt idx="1">
                  <c:v>Значения на уровне 2019 года (К2 от 99 до 101%)</c:v>
                </c:pt>
                <c:pt idx="2">
                  <c:v>Отрицательная динамика (К2 &lt; 99%)</c:v>
                </c:pt>
              </c:strCache>
            </c:strRef>
          </c:cat>
          <c:val>
            <c:numRef>
              <c:f>'1. Показатели'!$Z$5:$AB$5</c:f>
              <c:numCache>
                <c:formatCode>General</c:formatCode>
                <c:ptCount val="3"/>
                <c:pt idx="0">
                  <c:v>180</c:v>
                </c:pt>
                <c:pt idx="1">
                  <c:v>154</c:v>
                </c:pt>
                <c:pt idx="2">
                  <c:v>144</c:v>
                </c:pt>
              </c:numCache>
            </c:numRef>
          </c:val>
        </c:ser>
        <c:firstSliceAng val="0"/>
        <c:holeSize val="50"/>
      </c:doughnutChart>
    </c:plotArea>
    <c:legend>
      <c:legendPos val="r"/>
      <c:layout>
        <c:manualLayout>
          <c:xMode val="edge"/>
          <c:yMode val="edge"/>
          <c:x val="0.53181000554619773"/>
          <c:y val="0.46646219287035223"/>
          <c:w val="0.44054558009163974"/>
          <c:h val="0.44852477219836473"/>
        </c:manualLayout>
      </c:layout>
      <c:txPr>
        <a:bodyPr/>
        <a:lstStyle/>
        <a:p>
          <a:pPr>
            <a:defRPr sz="1200">
              <a:latin typeface="Times New Roman" pitchFamily="18" charset="0"/>
              <a:cs typeface="Times New Roman" pitchFamily="18" charset="0"/>
            </a:defRPr>
          </a:pPr>
          <a:endParaRPr lang="ru-RU"/>
        </a:p>
      </c:txPr>
    </c:legend>
    <c:plotVisOnly val="1"/>
    <c:dispBlanksAs val="zero"/>
  </c:chart>
  <c:externalData r:id="rId1"/>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a:solidFill>
                  <a:sysClr val="windowText" lastClr="000000"/>
                </a:solidFill>
                <a:latin typeface="Times New Roman" panose="02020603050405020304" pitchFamily="18" charset="0"/>
                <a:cs typeface="Times New Roman" panose="02020603050405020304" pitchFamily="18" charset="0"/>
              </a:defRPr>
            </a:pPr>
            <a:r>
              <a:rPr lang="ru-RU">
                <a:solidFill>
                  <a:sysClr val="windowText" lastClr="000000"/>
                </a:solidFill>
                <a:latin typeface="Times New Roman" panose="02020603050405020304" pitchFamily="18" charset="0"/>
                <a:cs typeface="Times New Roman" panose="02020603050405020304" pitchFamily="18" charset="0"/>
              </a:rPr>
              <a:t>Исполнение государственных программ по источникам финансирования</a:t>
            </a:r>
          </a:p>
        </c:rich>
      </c:tx>
      <c:layout>
        <c:manualLayout>
          <c:xMode val="edge"/>
          <c:yMode val="edge"/>
          <c:x val="0.24518454445742577"/>
          <c:y val="6.0156365410075956E-2"/>
        </c:manualLayout>
      </c:layout>
    </c:title>
    <c:plotArea>
      <c:layout>
        <c:manualLayout>
          <c:layoutTarget val="inner"/>
          <c:xMode val="edge"/>
          <c:yMode val="edge"/>
          <c:x val="4.8392880285008801E-2"/>
          <c:y val="0.17544354627511921"/>
          <c:w val="0.92613711948326349"/>
          <c:h val="0.62787233615274085"/>
        </c:manualLayout>
      </c:layout>
      <c:barChart>
        <c:barDir val="col"/>
        <c:grouping val="stacked"/>
        <c:ser>
          <c:idx val="0"/>
          <c:order val="0"/>
          <c:tx>
            <c:strRef>
              <c:f>Лист1!$B$1</c:f>
              <c:strCache>
                <c:ptCount val="1"/>
                <c:pt idx="0">
                  <c:v>ОБ</c:v>
                </c:pt>
              </c:strCache>
            </c:strRef>
          </c:tx>
          <c:spPr>
            <a:solidFill>
              <a:schemeClr val="accent4">
                <a:lumMod val="60000"/>
                <a:lumOff val="40000"/>
              </a:schemeClr>
            </a:solidFill>
            <a:ln>
              <a:solidFill>
                <a:sysClr val="window" lastClr="FFFFFF">
                  <a:lumMod val="65000"/>
                </a:sysClr>
              </a:solidFill>
            </a:ln>
          </c:spPr>
          <c:dLbls>
            <c:dLbl>
              <c:idx val="0"/>
              <c:layout/>
              <c:tx>
                <c:rich>
                  <a:bodyPr/>
                  <a:lstStyle/>
                  <a:p>
                    <a:r>
                      <a:rPr lang="ru-RU"/>
                      <a:t>ОБ 13</a:t>
                    </a:r>
                    <a:r>
                      <a:rPr lang="ru-RU" baseline="0"/>
                      <a:t> 280,1</a:t>
                    </a:r>
                    <a:endParaRPr lang="ru-RU"/>
                  </a:p>
                </c:rich>
              </c:tx>
              <c:showVal val="1"/>
              <c:extLst>
                <c:ext xmlns:c15="http://schemas.microsoft.com/office/drawing/2012/chart" uri="{CE6537A1-D6FC-4f65-9D91-7224C49458BB}">
                  <c15:layout/>
                </c:ext>
              </c:extLst>
            </c:dLbl>
            <c:dLbl>
              <c:idx val="1"/>
              <c:layout/>
              <c:tx>
                <c:rich>
                  <a:bodyPr/>
                  <a:lstStyle/>
                  <a:p>
                    <a:r>
                      <a:rPr lang="ru-RU"/>
                      <a:t>ОБ 18 198,1</a:t>
                    </a:r>
                  </a:p>
                </c:rich>
              </c:tx>
              <c:showVal val="1"/>
              <c:extLst>
                <c:ext xmlns:c15="http://schemas.microsoft.com/office/drawing/2012/chart" uri="{CE6537A1-D6FC-4f65-9D91-7224C49458BB}">
                  <c15:layout/>
                </c:ext>
              </c:extLst>
            </c:dLbl>
            <c:dLbl>
              <c:idx val="2"/>
              <c:layout/>
              <c:tx>
                <c:rich>
                  <a:bodyPr/>
                  <a:lstStyle/>
                  <a:p>
                    <a:r>
                      <a:rPr lang="ru-RU"/>
                      <a:t>ОБ 12 586,7</a:t>
                    </a:r>
                  </a:p>
                </c:rich>
              </c:tx>
              <c:showVal val="1"/>
              <c:extLst>
                <c:ext xmlns:c15="http://schemas.microsoft.com/office/drawing/2012/chart" uri="{CE6537A1-D6FC-4f65-9D91-7224C49458BB}">
                  <c15:layout/>
                </c:ext>
              </c:extLst>
            </c:dLbl>
            <c:dLbl>
              <c:idx val="3"/>
              <c:layout/>
              <c:tx>
                <c:rich>
                  <a:bodyPr/>
                  <a:lstStyle/>
                  <a:p>
                    <a:r>
                      <a:rPr lang="ru-RU"/>
                      <a:t>ОБ 5 805,8</a:t>
                    </a:r>
                  </a:p>
                </c:rich>
              </c:tx>
              <c:showVal val="1"/>
              <c:extLst>
                <c:ext xmlns:c15="http://schemas.microsoft.com/office/drawing/2012/chart" uri="{CE6537A1-D6FC-4f65-9D91-7224C49458BB}">
                  <c15:layout/>
                </c:ext>
              </c:extLst>
            </c:dLbl>
            <c:dLbl>
              <c:idx val="4"/>
              <c:layout/>
              <c:tx>
                <c:rich>
                  <a:bodyPr/>
                  <a:lstStyle/>
                  <a:p>
                    <a:r>
                      <a:rPr lang="ru-RU"/>
                      <a:t>ОБ 5 561,8</a:t>
                    </a:r>
                  </a:p>
                </c:rich>
              </c:tx>
              <c:showVal val="1"/>
              <c:extLst>
                <c:ext xmlns:c15="http://schemas.microsoft.com/office/drawing/2012/chart" uri="{CE6537A1-D6FC-4f65-9D91-7224C49458BB}">
                  <c15:layout/>
                </c:ext>
              </c:extLst>
            </c:dLbl>
            <c:dLbl>
              <c:idx val="5"/>
              <c:layout/>
              <c:tx>
                <c:rich>
                  <a:bodyPr/>
                  <a:lstStyle/>
                  <a:p>
                    <a:r>
                      <a:rPr lang="ru-RU"/>
                      <a:t>ОБ </a:t>
                    </a:r>
                    <a:fld id="{1BBA039D-F6DB-4D40-A3DA-9DF9340C4B34}" type="VALUE">
                      <a:rPr lang="en-US"/>
                      <a:pPr/>
                      <a:t>[ЗНАЧЕНИЕ]</a:t>
                    </a:fld>
                    <a:endParaRPr lang="ru-RU"/>
                  </a:p>
                </c:rich>
              </c:tx>
              <c:showVal val="1"/>
              <c:extLst>
                <c:ext xmlns:c15="http://schemas.microsoft.com/office/drawing/2012/chart" uri="{CE6537A1-D6FC-4f65-9D91-7224C49458BB}">
                  <c15:layout/>
                  <c15:dlblFieldTable/>
                  <c15:showDataLabelsRange val="0"/>
                </c:ext>
              </c:extLst>
            </c:dLbl>
            <c:spPr>
              <a:noFill/>
              <a:ln>
                <a:noFill/>
              </a:ln>
              <a:effectLst/>
            </c:spPr>
            <c:showVal val="1"/>
            <c:extLst>
              <c:ext xmlns:c15="http://schemas.microsoft.com/office/drawing/2012/chart" uri="{CE6537A1-D6FC-4f65-9D91-7224C49458BB}">
                <c15:showLeaderLines val="0"/>
              </c:ext>
            </c:extLst>
          </c:dLbls>
          <c:cat>
            <c:strRef>
              <c:f>Лист1!$A$2:$A$7</c:f>
              <c:strCache>
                <c:ptCount val="6"/>
                <c:pt idx="0">
                  <c:v>Развитие здравоохранения</c:v>
                </c:pt>
                <c:pt idx="1">
                  <c:v>Развитие образования</c:v>
                </c:pt>
                <c:pt idx="2">
                  <c:v>Социальная поддержка граждан</c:v>
                </c:pt>
                <c:pt idx="3">
                  <c:v>Управление рег. финансами, создание условий для эффективного и ответственного управления мун.финансами</c:v>
                </c:pt>
                <c:pt idx="4">
                  <c:v>Обеспечение комфортной среды проживания населения</c:v>
                </c:pt>
                <c:pt idx="5">
                  <c:v>Развитие транспортной системы</c:v>
                </c:pt>
              </c:strCache>
            </c:strRef>
          </c:cat>
          <c:val>
            <c:numRef>
              <c:f>Лист1!$B$2:$B$7</c:f>
              <c:numCache>
                <c:formatCode>#,##0.0</c:formatCode>
                <c:ptCount val="6"/>
                <c:pt idx="0">
                  <c:v>13280.093240000009</c:v>
                </c:pt>
                <c:pt idx="1">
                  <c:v>18198.108425700018</c:v>
                </c:pt>
                <c:pt idx="2">
                  <c:v>12586.658880000001</c:v>
                </c:pt>
                <c:pt idx="3">
                  <c:v>5805.7807485999992</c:v>
                </c:pt>
                <c:pt idx="4">
                  <c:v>5561.7551508100005</c:v>
                </c:pt>
                <c:pt idx="5">
                  <c:v>4945.9786096399994</c:v>
                </c:pt>
              </c:numCache>
            </c:numRef>
          </c:val>
        </c:ser>
        <c:ser>
          <c:idx val="1"/>
          <c:order val="1"/>
          <c:tx>
            <c:strRef>
              <c:f>Лист1!$C$1</c:f>
              <c:strCache>
                <c:ptCount val="1"/>
                <c:pt idx="0">
                  <c:v>ФБ</c:v>
                </c:pt>
              </c:strCache>
            </c:strRef>
          </c:tx>
          <c:spPr>
            <a:solidFill>
              <a:srgbClr val="92D050"/>
            </a:solidFill>
            <a:ln>
              <a:solidFill>
                <a:sysClr val="window" lastClr="FFFFFF">
                  <a:lumMod val="65000"/>
                </a:sysClr>
              </a:solidFill>
            </a:ln>
          </c:spPr>
          <c:dLbls>
            <c:dLbl>
              <c:idx val="0"/>
              <c:layout/>
              <c:tx>
                <c:rich>
                  <a:bodyPr/>
                  <a:lstStyle/>
                  <a:p>
                    <a:r>
                      <a:rPr lang="ru-RU"/>
                      <a:t>ФБ 1 027,5</a:t>
                    </a:r>
                  </a:p>
                </c:rich>
              </c:tx>
              <c:showVal val="1"/>
              <c:extLst>
                <c:ext xmlns:c15="http://schemas.microsoft.com/office/drawing/2012/chart" uri="{CE6537A1-D6FC-4f65-9D91-7224C49458BB}">
                  <c15:layout/>
                </c:ext>
              </c:extLst>
            </c:dLbl>
            <c:dLbl>
              <c:idx val="1"/>
              <c:layout>
                <c:manualLayout>
                  <c:x val="-2.6820811147395995E-2"/>
                  <c:y val="-1.7071848521782923E-4"/>
                </c:manualLayout>
              </c:layout>
              <c:tx>
                <c:rich>
                  <a:bodyPr/>
                  <a:lstStyle/>
                  <a:p>
                    <a:r>
                      <a:rPr lang="ru-RU"/>
                      <a:t>ФБ 1 450,1</a:t>
                    </a:r>
                  </a:p>
                </c:rich>
              </c:tx>
              <c:showVal val="1"/>
              <c:extLst>
                <c:ext xmlns:c15="http://schemas.microsoft.com/office/drawing/2012/chart" uri="{CE6537A1-D6FC-4f65-9D91-7224C49458BB}">
                  <c15:layout/>
                </c:ext>
              </c:extLst>
            </c:dLbl>
            <c:dLbl>
              <c:idx val="2"/>
              <c:layout>
                <c:manualLayout>
                  <c:x val="-5.9599195410861994E-3"/>
                  <c:y val="2.5358184354000225E-3"/>
                </c:manualLayout>
              </c:layout>
              <c:tx>
                <c:rich>
                  <a:bodyPr/>
                  <a:lstStyle/>
                  <a:p>
                    <a:r>
                      <a:rPr lang="ru-RU"/>
                      <a:t>ФБ 3 777</a:t>
                    </a:r>
                  </a:p>
                </c:rich>
              </c:tx>
              <c:showVal val="1"/>
              <c:extLst>
                <c:ext xmlns:c15="http://schemas.microsoft.com/office/drawing/2012/chart" uri="{CE6537A1-D6FC-4f65-9D91-7224C49458BB}">
                  <c15:layout/>
                </c:ext>
              </c:extLst>
            </c:dLbl>
            <c:dLbl>
              <c:idx val="3"/>
              <c:layout>
                <c:manualLayout>
                  <c:x val="-4.1719436787603412E-2"/>
                  <c:y val="-1.7071848521787585E-4"/>
                </c:manualLayout>
              </c:layout>
              <c:tx>
                <c:rich>
                  <a:bodyPr/>
                  <a:lstStyle/>
                  <a:p>
                    <a:r>
                      <a:rPr lang="ru-RU"/>
                      <a:t>ФБ 1 554,4</a:t>
                    </a:r>
                  </a:p>
                </c:rich>
              </c:tx>
              <c:showVal val="1"/>
              <c:extLst>
                <c:ext xmlns:c15="http://schemas.microsoft.com/office/drawing/2012/chart" uri="{CE6537A1-D6FC-4f65-9D91-7224C49458BB}">
                  <c15:layout/>
                </c:ext>
              </c:extLst>
            </c:dLbl>
            <c:dLbl>
              <c:idx val="4"/>
              <c:layout>
                <c:manualLayout>
                  <c:x val="-4.6189376443418126E-2"/>
                  <c:y val="7.6074553062000774E-3"/>
                </c:manualLayout>
              </c:layout>
              <c:tx>
                <c:rich>
                  <a:bodyPr/>
                  <a:lstStyle/>
                  <a:p>
                    <a:r>
                      <a:rPr lang="ru-RU"/>
                      <a:t>ФБ 579,5</a:t>
                    </a:r>
                  </a:p>
                </c:rich>
              </c:tx>
              <c:showVal val="1"/>
              <c:extLst>
                <c:ext xmlns:c15="http://schemas.microsoft.com/office/drawing/2012/chart" uri="{CE6537A1-D6FC-4f65-9D91-7224C49458BB}">
                  <c15:layout/>
                </c:ext>
              </c:extLst>
            </c:dLbl>
            <c:dLbl>
              <c:idx val="5"/>
              <c:layout>
                <c:manualLayout>
                  <c:x val="4.1719436787603308E-2"/>
                  <c:y val="5.071636870800051E-3"/>
                </c:manualLayout>
              </c:layout>
              <c:tx>
                <c:rich>
                  <a:bodyPr/>
                  <a:lstStyle/>
                  <a:p>
                    <a:r>
                      <a:rPr lang="ru-RU"/>
                      <a:t>ФБ </a:t>
                    </a:r>
                    <a:fld id="{5033047C-5F4B-4683-A417-49C057A00559}" type="VALUE">
                      <a:rPr lang="en-US"/>
                      <a:pPr/>
                      <a:t>[ЗНАЧЕНИЕ]</a:t>
                    </a:fld>
                    <a:endParaRPr lang="ru-RU"/>
                  </a:p>
                </c:rich>
              </c:tx>
              <c:showVal val="1"/>
              <c:extLst>
                <c:ext xmlns:c15="http://schemas.microsoft.com/office/drawing/2012/chart" uri="{CE6537A1-D6FC-4f65-9D91-7224C49458BB}">
                  <c15:layout/>
                  <c15:dlblFieldTable/>
                  <c15:showDataLabelsRange val="0"/>
                </c:ext>
              </c:extLst>
            </c:dLbl>
            <c:spPr>
              <a:noFill/>
              <a:ln>
                <a:noFill/>
              </a:ln>
              <a:effectLst/>
            </c:spPr>
            <c:showVal val="1"/>
            <c:extLst>
              <c:ext xmlns:c15="http://schemas.microsoft.com/office/drawing/2012/chart" uri="{CE6537A1-D6FC-4f65-9D91-7224C49458BB}">
                <c15:showLeaderLines val="0"/>
              </c:ext>
            </c:extLst>
          </c:dLbls>
          <c:cat>
            <c:strRef>
              <c:f>Лист1!$A$2:$A$7</c:f>
              <c:strCache>
                <c:ptCount val="6"/>
                <c:pt idx="0">
                  <c:v>Развитие здравоохранения</c:v>
                </c:pt>
                <c:pt idx="1">
                  <c:v>Развитие образования</c:v>
                </c:pt>
                <c:pt idx="2">
                  <c:v>Социальная поддержка граждан</c:v>
                </c:pt>
                <c:pt idx="3">
                  <c:v>Управление рег. финансами, создание условий для эффективного и ответственного управления мун.финансами</c:v>
                </c:pt>
                <c:pt idx="4">
                  <c:v>Обеспечение комфортной среды проживания населения</c:v>
                </c:pt>
                <c:pt idx="5">
                  <c:v>Развитие транспортной системы</c:v>
                </c:pt>
              </c:strCache>
            </c:strRef>
          </c:cat>
          <c:val>
            <c:numRef>
              <c:f>Лист1!$C$2:$C$7</c:f>
              <c:numCache>
                <c:formatCode>#,##0.0</c:formatCode>
                <c:ptCount val="6"/>
                <c:pt idx="0">
                  <c:v>1027.4855000000011</c:v>
                </c:pt>
                <c:pt idx="1">
                  <c:v>1450.1281299999998</c:v>
                </c:pt>
                <c:pt idx="2">
                  <c:v>3777.0209</c:v>
                </c:pt>
                <c:pt idx="3">
                  <c:v>1554.3839999999998</c:v>
                </c:pt>
                <c:pt idx="4">
                  <c:v>579.48786967000001</c:v>
                </c:pt>
                <c:pt idx="5">
                  <c:v>1141.3630187999988</c:v>
                </c:pt>
              </c:numCache>
            </c:numRef>
          </c:val>
        </c:ser>
        <c:ser>
          <c:idx val="2"/>
          <c:order val="2"/>
          <c:tx>
            <c:strRef>
              <c:f>Лист1!$D$1</c:f>
              <c:strCache>
                <c:ptCount val="1"/>
                <c:pt idx="0">
                  <c:v>МБ</c:v>
                </c:pt>
              </c:strCache>
            </c:strRef>
          </c:tx>
          <c:spPr>
            <a:solidFill>
              <a:srgbClr val="00B0F0"/>
            </a:solidFill>
            <a:ln>
              <a:solidFill>
                <a:sysClr val="window" lastClr="FFFFFF">
                  <a:lumMod val="65000"/>
                </a:sysClr>
              </a:solidFill>
            </a:ln>
          </c:spPr>
          <c:cat>
            <c:strRef>
              <c:f>Лист1!$A$2:$A$7</c:f>
              <c:strCache>
                <c:ptCount val="6"/>
                <c:pt idx="0">
                  <c:v>Развитие здравоохранения</c:v>
                </c:pt>
                <c:pt idx="1">
                  <c:v>Развитие образования</c:v>
                </c:pt>
                <c:pt idx="2">
                  <c:v>Социальная поддержка граждан</c:v>
                </c:pt>
                <c:pt idx="3">
                  <c:v>Управление рег. финансами, создание условий для эффективного и ответственного управления мун.финансами</c:v>
                </c:pt>
                <c:pt idx="4">
                  <c:v>Обеспечение комфортной среды проживания населения</c:v>
                </c:pt>
                <c:pt idx="5">
                  <c:v>Развитие транспортной системы</c:v>
                </c:pt>
              </c:strCache>
            </c:strRef>
          </c:cat>
          <c:val>
            <c:numRef>
              <c:f>Лист1!$D$2:$D$7</c:f>
              <c:numCache>
                <c:formatCode>#,##0.0</c:formatCode>
                <c:ptCount val="6"/>
                <c:pt idx="0">
                  <c:v>0</c:v>
                </c:pt>
                <c:pt idx="1">
                  <c:v>199.23686126999985</c:v>
                </c:pt>
                <c:pt idx="2">
                  <c:v>0</c:v>
                </c:pt>
                <c:pt idx="3">
                  <c:v>0</c:v>
                </c:pt>
                <c:pt idx="4">
                  <c:v>328.62122525999973</c:v>
                </c:pt>
                <c:pt idx="5">
                  <c:v>12.4453</c:v>
                </c:pt>
              </c:numCache>
            </c:numRef>
          </c:val>
        </c:ser>
        <c:ser>
          <c:idx val="3"/>
          <c:order val="3"/>
          <c:tx>
            <c:strRef>
              <c:f>Лист1!$E$1</c:f>
              <c:strCache>
                <c:ptCount val="1"/>
                <c:pt idx="0">
                  <c:v>ВБС</c:v>
                </c:pt>
              </c:strCache>
            </c:strRef>
          </c:tx>
          <c:spPr>
            <a:solidFill>
              <a:srgbClr val="FFC000"/>
            </a:solidFill>
            <a:ln>
              <a:solidFill>
                <a:schemeClr val="bg1">
                  <a:lumMod val="65000"/>
                </a:schemeClr>
              </a:solidFill>
            </a:ln>
          </c:spPr>
          <c:dLbls>
            <c:dLbl>
              <c:idx val="0"/>
              <c:layout/>
              <c:tx>
                <c:rich>
                  <a:bodyPr/>
                  <a:lstStyle/>
                  <a:p>
                    <a:r>
                      <a:rPr lang="ru-RU"/>
                      <a:t>ВБС 17 546,2</a:t>
                    </a:r>
                  </a:p>
                </c:rich>
              </c:tx>
              <c:showVal val="1"/>
              <c:extLst>
                <c:ext xmlns:c15="http://schemas.microsoft.com/office/drawing/2012/chart" uri="{CE6537A1-D6FC-4f65-9D91-7224C49458BB}">
                  <c15:layout/>
                </c:ext>
              </c:extLst>
            </c:dLbl>
            <c:dLbl>
              <c:idx val="1"/>
              <c:delete val="1"/>
              <c:extLst>
                <c:ext xmlns:c15="http://schemas.microsoft.com/office/drawing/2012/chart" uri="{CE6537A1-D6FC-4f65-9D91-7224C49458BB}"/>
              </c:extLst>
            </c:dLbl>
            <c:dLbl>
              <c:idx val="2"/>
              <c:layout>
                <c:manualLayout>
                  <c:x val="-2.9789038792858752E-3"/>
                  <c:y val="-4.3669588847989674E-2"/>
                </c:manualLayout>
              </c:layout>
              <c:tx>
                <c:rich>
                  <a:bodyPr/>
                  <a:lstStyle/>
                  <a:p>
                    <a:r>
                      <a:rPr lang="ru-RU"/>
                      <a:t>ВБС 347,2</a:t>
                    </a:r>
                  </a:p>
                </c:rich>
              </c:tx>
              <c:showVal val="1"/>
              <c:extLst>
                <c:ext xmlns:c15="http://schemas.microsoft.com/office/drawing/2012/chart" uri="{CE6537A1-D6FC-4f65-9D91-7224C49458BB}">
                  <c15:layout/>
                </c:ext>
              </c:extLst>
            </c:dLbl>
            <c:dLbl>
              <c:idx val="3"/>
              <c:delete val="1"/>
              <c:extLst>
                <c:ext xmlns:c15="http://schemas.microsoft.com/office/drawing/2012/chart" uri="{CE6537A1-D6FC-4f65-9D91-7224C49458BB}"/>
              </c:extLst>
            </c:dLbl>
            <c:dLbl>
              <c:idx val="4"/>
              <c:delete val="1"/>
              <c:extLst>
                <c:ext xmlns:c15="http://schemas.microsoft.com/office/drawing/2012/chart" uri="{CE6537A1-D6FC-4f65-9D91-7224C49458BB}"/>
              </c:extLst>
            </c:dLbl>
            <c:dLbl>
              <c:idx val="5"/>
              <c:delete val="1"/>
              <c:extLst>
                <c:ext xmlns:c15="http://schemas.microsoft.com/office/drawing/2012/chart" uri="{CE6537A1-D6FC-4f65-9D91-7224C49458BB}"/>
              </c:extLst>
            </c:dLbl>
            <c:spPr>
              <a:noFill/>
              <a:ln>
                <a:noFill/>
              </a:ln>
              <a:effectLst/>
            </c:spPr>
            <c:showVal val="1"/>
            <c:extLst>
              <c:ext xmlns:c15="http://schemas.microsoft.com/office/drawing/2012/chart" uri="{CE6537A1-D6FC-4f65-9D91-7224C49458BB}">
                <c15:showLeaderLines val="0"/>
              </c:ext>
            </c:extLst>
          </c:dLbls>
          <c:cat>
            <c:strRef>
              <c:f>Лист1!$A$2:$A$7</c:f>
              <c:strCache>
                <c:ptCount val="6"/>
                <c:pt idx="0">
                  <c:v>Развитие здравоохранения</c:v>
                </c:pt>
                <c:pt idx="1">
                  <c:v>Развитие образования</c:v>
                </c:pt>
                <c:pt idx="2">
                  <c:v>Социальная поддержка граждан</c:v>
                </c:pt>
                <c:pt idx="3">
                  <c:v>Управление рег. финансами, создание условий для эффективного и ответственного управления мун.финансами</c:v>
                </c:pt>
                <c:pt idx="4">
                  <c:v>Обеспечение комфортной среды проживания населения</c:v>
                </c:pt>
                <c:pt idx="5">
                  <c:v>Развитие транспортной системы</c:v>
                </c:pt>
              </c:strCache>
            </c:strRef>
          </c:cat>
          <c:val>
            <c:numRef>
              <c:f>Лист1!$E$2:$E$7</c:f>
              <c:numCache>
                <c:formatCode>#,##0.0</c:formatCode>
                <c:ptCount val="6"/>
                <c:pt idx="0">
                  <c:v>17546.18687714</c:v>
                </c:pt>
                <c:pt idx="1">
                  <c:v>0</c:v>
                </c:pt>
                <c:pt idx="2">
                  <c:v>347.19849999999974</c:v>
                </c:pt>
                <c:pt idx="3">
                  <c:v>0</c:v>
                </c:pt>
                <c:pt idx="4">
                  <c:v>430.93209999999959</c:v>
                </c:pt>
                <c:pt idx="5">
                  <c:v>0</c:v>
                </c:pt>
              </c:numCache>
            </c:numRef>
          </c:val>
        </c:ser>
        <c:gapWidth val="55"/>
        <c:overlap val="100"/>
        <c:axId val="107382272"/>
        <c:axId val="109990272"/>
      </c:barChart>
      <c:lineChart>
        <c:grouping val="standard"/>
        <c:ser>
          <c:idx val="4"/>
          <c:order val="4"/>
          <c:tx>
            <c:strRef>
              <c:f>Лист1!$F$1</c:f>
              <c:strCache>
                <c:ptCount val="1"/>
                <c:pt idx="0">
                  <c:v>План</c:v>
                </c:pt>
              </c:strCache>
            </c:strRef>
          </c:tx>
          <c:marker>
            <c:symbol val="none"/>
          </c:marker>
          <c:cat>
            <c:strRef>
              <c:f>Лист1!$A$2:$A$7</c:f>
              <c:strCache>
                <c:ptCount val="6"/>
                <c:pt idx="0">
                  <c:v>Развитие здравоохранения</c:v>
                </c:pt>
                <c:pt idx="1">
                  <c:v>Развитие образования</c:v>
                </c:pt>
                <c:pt idx="2">
                  <c:v>Социальная поддержка граждан</c:v>
                </c:pt>
                <c:pt idx="3">
                  <c:v>Управление рег. финансами, создание условий для эффективного и ответственного управления мун.финансами</c:v>
                </c:pt>
                <c:pt idx="4">
                  <c:v>Обеспечение комфортной среды проживания населения</c:v>
                </c:pt>
                <c:pt idx="5">
                  <c:v>Развитие транспортной системы</c:v>
                </c:pt>
              </c:strCache>
            </c:strRef>
          </c:cat>
          <c:val>
            <c:numRef>
              <c:f>Лист1!$F$2:$F$7</c:f>
              <c:numCache>
                <c:formatCode>#,##0.0</c:formatCode>
                <c:ptCount val="6"/>
                <c:pt idx="0">
                  <c:v>31853.765617140001</c:v>
                </c:pt>
                <c:pt idx="1">
                  <c:v>19847.473416969999</c:v>
                </c:pt>
                <c:pt idx="2">
                  <c:v>16710.878280000001</c:v>
                </c:pt>
                <c:pt idx="3">
                  <c:v>7360.1647486000002</c:v>
                </c:pt>
                <c:pt idx="4">
                  <c:v>6900.7963457399992</c:v>
                </c:pt>
                <c:pt idx="5">
                  <c:v>6099.7869284400003</c:v>
                </c:pt>
              </c:numCache>
            </c:numRef>
          </c:val>
        </c:ser>
        <c:ser>
          <c:idx val="5"/>
          <c:order val="5"/>
          <c:tx>
            <c:strRef>
              <c:f>Лист1!$G$1</c:f>
              <c:strCache>
                <c:ptCount val="1"/>
                <c:pt idx="0">
                  <c:v>Всего расходов</c:v>
                </c:pt>
              </c:strCache>
            </c:strRef>
          </c:tx>
          <c:spPr>
            <a:ln>
              <a:solidFill>
                <a:srgbClr val="FF0000"/>
              </a:solidFill>
            </a:ln>
          </c:spPr>
          <c:marker>
            <c:spPr>
              <a:solidFill>
                <a:srgbClr val="FF0000"/>
              </a:solidFill>
            </c:spPr>
          </c:marker>
          <c:dLbls>
            <c:dLbl>
              <c:idx val="0"/>
              <c:layout>
                <c:manualLayout>
                  <c:x val="2.9824038174768872E-3"/>
                  <c:y val="-1.386161487813326E-2"/>
                </c:manualLayout>
              </c:layout>
              <c:showVal val="1"/>
              <c:extLst>
                <c:ext xmlns:c15="http://schemas.microsoft.com/office/drawing/2012/chart" uri="{CE6537A1-D6FC-4f65-9D91-7224C49458BB}">
                  <c15:layout/>
                </c:ext>
              </c:extLst>
            </c:dLbl>
            <c:dLbl>
              <c:idx val="1"/>
              <c:layout>
                <c:manualLayout>
                  <c:x val="0"/>
                  <c:y val="-1.8482153170844402E-2"/>
                </c:manualLayout>
              </c:layout>
              <c:showVal val="1"/>
              <c:extLst>
                <c:ext xmlns:c15="http://schemas.microsoft.com/office/drawing/2012/chart" uri="{CE6537A1-D6FC-4f65-9D91-7224C49458BB}">
                  <c15:layout/>
                </c:ext>
              </c:extLst>
            </c:dLbl>
            <c:dLbl>
              <c:idx val="2"/>
              <c:layout>
                <c:manualLayout>
                  <c:x val="0"/>
                  <c:y val="-2.3102691463555505E-2"/>
                </c:manualLayout>
              </c:layout>
              <c:showVal val="1"/>
              <c:extLst>
                <c:ext xmlns:c15="http://schemas.microsoft.com/office/drawing/2012/chart" uri="{CE6537A1-D6FC-4f65-9D91-7224C49458BB}">
                  <c15:layout/>
                </c:ext>
              </c:extLst>
            </c:dLbl>
            <c:dLbl>
              <c:idx val="3"/>
              <c:layout>
                <c:manualLayout>
                  <c:x val="4.4736057262153434E-3"/>
                  <c:y val="-9.2410765854222046E-3"/>
                </c:manualLayout>
              </c:layout>
              <c:showVal val="1"/>
              <c:extLst>
                <c:ext xmlns:c15="http://schemas.microsoft.com/office/drawing/2012/chart" uri="{CE6537A1-D6FC-4f65-9D91-7224C49458BB}">
                  <c15:layout/>
                </c:ext>
              </c:extLst>
            </c:dLbl>
            <c:dLbl>
              <c:idx val="4"/>
              <c:layout>
                <c:manualLayout>
                  <c:x val="0"/>
                  <c:y val="-2.772322975626661E-2"/>
                </c:manualLayout>
              </c:layout>
              <c:showVal val="1"/>
              <c:extLst>
                <c:ext xmlns:c15="http://schemas.microsoft.com/office/drawing/2012/chart" uri="{CE6537A1-D6FC-4f65-9D91-7224C49458BB}">
                  <c15:layout/>
                </c:ext>
              </c:extLst>
            </c:dLbl>
            <c:dLbl>
              <c:idx val="5"/>
              <c:layout>
                <c:manualLayout>
                  <c:x val="0"/>
                  <c:y val="-2.7894002789400324E-2"/>
                </c:manualLayout>
              </c:layout>
              <c:showVal val="1"/>
              <c:extLst>
                <c:ext xmlns:c15="http://schemas.microsoft.com/office/drawing/2012/chart" uri="{CE6537A1-D6FC-4f65-9D91-7224C49458BB}">
                  <c15:layout/>
                </c:ext>
              </c:extLst>
            </c:dLbl>
            <c:spPr>
              <a:noFill/>
              <a:ln>
                <a:noFill/>
              </a:ln>
              <a:effectLst/>
            </c:spPr>
            <c:txPr>
              <a:bodyPr/>
              <a:lstStyle/>
              <a:p>
                <a:pPr>
                  <a:defRPr>
                    <a:solidFill>
                      <a:srgbClr val="FF0000"/>
                    </a:solidFill>
                  </a:defRPr>
                </a:pPr>
                <a:endParaRPr lang="ru-RU"/>
              </a:p>
            </c:txPr>
            <c:showVal val="1"/>
            <c:extLst>
              <c:ext xmlns:c15="http://schemas.microsoft.com/office/drawing/2012/chart" uri="{CE6537A1-D6FC-4f65-9D91-7224C49458BB}">
                <c15:showLeaderLines val="0"/>
              </c:ext>
            </c:extLst>
          </c:dLbls>
          <c:cat>
            <c:strRef>
              <c:f>Лист1!$A$2:$A$7</c:f>
              <c:strCache>
                <c:ptCount val="6"/>
                <c:pt idx="0">
                  <c:v>Развитие здравоохранения</c:v>
                </c:pt>
                <c:pt idx="1">
                  <c:v>Развитие образования</c:v>
                </c:pt>
                <c:pt idx="2">
                  <c:v>Социальная поддержка граждан</c:v>
                </c:pt>
                <c:pt idx="3">
                  <c:v>Управление рег. финансами, создание условий для эффективного и ответственного управления мун.финансами</c:v>
                </c:pt>
                <c:pt idx="4">
                  <c:v>Обеспечение комфортной среды проживания населения</c:v>
                </c:pt>
                <c:pt idx="5">
                  <c:v>Развитие транспортной системы</c:v>
                </c:pt>
              </c:strCache>
            </c:strRef>
          </c:cat>
          <c:val>
            <c:numRef>
              <c:f>Лист1!$G$2:$G$7</c:f>
              <c:numCache>
                <c:formatCode>#,##0.0</c:formatCode>
                <c:ptCount val="6"/>
                <c:pt idx="0">
                  <c:v>30679.822693999999</c:v>
                </c:pt>
                <c:pt idx="1">
                  <c:v>19319.531948321492</c:v>
                </c:pt>
                <c:pt idx="2">
                  <c:v>15838.877695259987</c:v>
                </c:pt>
                <c:pt idx="3">
                  <c:v>7348.1790020800008</c:v>
                </c:pt>
                <c:pt idx="4">
                  <c:v>5561.6558668900034</c:v>
                </c:pt>
                <c:pt idx="5">
                  <c:v>5068.1420035400024</c:v>
                </c:pt>
              </c:numCache>
            </c:numRef>
          </c:val>
        </c:ser>
        <c:marker val="1"/>
        <c:axId val="107382272"/>
        <c:axId val="109990272"/>
      </c:lineChart>
      <c:lineChart>
        <c:grouping val="stacked"/>
        <c:ser>
          <c:idx val="6"/>
          <c:order val="6"/>
          <c:tx>
            <c:strRef>
              <c:f>Лист1!$H$1</c:f>
              <c:strCache>
                <c:ptCount val="1"/>
                <c:pt idx="0">
                  <c:v>Степень освоения средств, %</c:v>
                </c:pt>
              </c:strCache>
            </c:strRef>
          </c:tx>
          <c:spPr>
            <a:ln>
              <a:noFill/>
            </a:ln>
          </c:spPr>
          <c:marker>
            <c:symbol val="diamond"/>
            <c:size val="6"/>
            <c:spPr>
              <a:solidFill>
                <a:srgbClr val="0070C0"/>
              </a:solidFill>
            </c:spPr>
          </c:marker>
          <c:dLbls>
            <c:dLbl>
              <c:idx val="0"/>
              <c:layout>
                <c:manualLayout>
                  <c:x val="-7.4560095436922678E-3"/>
                  <c:y val="-3.9274575488044701E-2"/>
                </c:manualLayout>
              </c:layout>
              <c:showVal val="1"/>
              <c:extLst>
                <c:ext xmlns:c15="http://schemas.microsoft.com/office/drawing/2012/chart" uri="{CE6537A1-D6FC-4f65-9D91-7224C49458BB}">
                  <c15:layout/>
                </c:ext>
              </c:extLst>
            </c:dLbl>
            <c:dLbl>
              <c:idx val="1"/>
              <c:layout/>
              <c:tx>
                <c:rich>
                  <a:bodyPr/>
                  <a:lstStyle/>
                  <a:p>
                    <a:r>
                      <a:rPr lang="en-US"/>
                      <a:t>97,3</a:t>
                    </a:r>
                  </a:p>
                </c:rich>
              </c:tx>
              <c:showVal val="1"/>
              <c:extLst>
                <c:ext xmlns:c15="http://schemas.microsoft.com/office/drawing/2012/chart" uri="{CE6537A1-D6FC-4f65-9D91-7224C49458BB}">
                  <c15:layout/>
                </c:ext>
              </c:extLst>
            </c:dLbl>
            <c:spPr>
              <a:noFill/>
              <a:ln>
                <a:noFill/>
              </a:ln>
              <a:effectLst/>
            </c:spPr>
            <c:showVal val="1"/>
            <c:extLst>
              <c:ext xmlns:c15="http://schemas.microsoft.com/office/drawing/2012/chart" uri="{CE6537A1-D6FC-4f65-9D91-7224C49458BB}">
                <c15:layout/>
                <c15:showLeaderLines val="0"/>
              </c:ext>
            </c:extLst>
          </c:dLbls>
          <c:cat>
            <c:strRef>
              <c:f>Лист1!$A$2:$A$7</c:f>
              <c:strCache>
                <c:ptCount val="6"/>
                <c:pt idx="0">
                  <c:v>Развитие здравоохранения</c:v>
                </c:pt>
                <c:pt idx="1">
                  <c:v>Развитие образования</c:v>
                </c:pt>
                <c:pt idx="2">
                  <c:v>Социальная поддержка граждан</c:v>
                </c:pt>
                <c:pt idx="3">
                  <c:v>Управление рег. финансами, создание условий для эффективного и ответственного управления мун.финансами</c:v>
                </c:pt>
                <c:pt idx="4">
                  <c:v>Обеспечение комфортной среды проживания населения</c:v>
                </c:pt>
                <c:pt idx="5">
                  <c:v>Развитие транспортной системы</c:v>
                </c:pt>
              </c:strCache>
            </c:strRef>
          </c:cat>
          <c:val>
            <c:numRef>
              <c:f>Лист1!$H$2:$H$7</c:f>
              <c:numCache>
                <c:formatCode>0.0%</c:formatCode>
                <c:ptCount val="6"/>
                <c:pt idx="0">
                  <c:v>0.96300000000000052</c:v>
                </c:pt>
                <c:pt idx="1">
                  <c:v>0.97300000000000053</c:v>
                </c:pt>
                <c:pt idx="2">
                  <c:v>0.94799999999999995</c:v>
                </c:pt>
                <c:pt idx="3">
                  <c:v>0.998</c:v>
                </c:pt>
                <c:pt idx="4">
                  <c:v>0.80600000000000005</c:v>
                </c:pt>
                <c:pt idx="5">
                  <c:v>0.83100000000000052</c:v>
                </c:pt>
              </c:numCache>
            </c:numRef>
          </c:val>
        </c:ser>
        <c:marker val="1"/>
        <c:axId val="109992576"/>
        <c:axId val="111105152"/>
      </c:lineChart>
      <c:catAx>
        <c:axId val="107382272"/>
        <c:scaling>
          <c:orientation val="minMax"/>
        </c:scaling>
        <c:axPos val="b"/>
        <c:numFmt formatCode="General" sourceLinked="1"/>
        <c:majorTickMark val="none"/>
        <c:tickLblPos val="nextTo"/>
        <c:crossAx val="109990272"/>
        <c:crosses val="autoZero"/>
        <c:auto val="1"/>
        <c:lblAlgn val="ctr"/>
        <c:lblOffset val="100"/>
      </c:catAx>
      <c:valAx>
        <c:axId val="109990272"/>
        <c:scaling>
          <c:orientation val="minMax"/>
          <c:max val="40000"/>
        </c:scaling>
        <c:axPos val="l"/>
        <c:title>
          <c:tx>
            <c:rich>
              <a:bodyPr/>
              <a:lstStyle/>
              <a:p>
                <a:pPr>
                  <a:defRPr sz="1000" b="1" i="0" u="none" strike="noStrike" baseline="0">
                    <a:solidFill>
                      <a:srgbClr val="000000"/>
                    </a:solidFill>
                    <a:latin typeface="Calibri"/>
                    <a:ea typeface="Calibri"/>
                    <a:cs typeface="Calibri"/>
                  </a:defRPr>
                </a:pPr>
                <a:r>
                  <a:rPr lang="ru-RU"/>
                  <a:t>Млн.рублей</a:t>
                </a:r>
              </a:p>
            </c:rich>
          </c:tx>
          <c:layout/>
        </c:title>
        <c:numFmt formatCode="#,##0.0" sourceLinked="1"/>
        <c:majorTickMark val="none"/>
        <c:tickLblPos val="none"/>
        <c:crossAx val="107382272"/>
        <c:crosses val="autoZero"/>
        <c:crossBetween val="between"/>
      </c:valAx>
      <c:catAx>
        <c:axId val="109992576"/>
        <c:scaling>
          <c:orientation val="minMax"/>
        </c:scaling>
        <c:delete val="1"/>
        <c:axPos val="b"/>
        <c:numFmt formatCode="General" sourceLinked="1"/>
        <c:tickLblPos val="nextTo"/>
        <c:crossAx val="111105152"/>
        <c:crosses val="autoZero"/>
        <c:auto val="1"/>
        <c:lblAlgn val="ctr"/>
        <c:lblOffset val="100"/>
      </c:catAx>
      <c:valAx>
        <c:axId val="111105152"/>
        <c:scaling>
          <c:orientation val="minMax"/>
          <c:min val="0.70000000000000062"/>
        </c:scaling>
        <c:axPos val="r"/>
        <c:numFmt formatCode="0.0%" sourceLinked="1"/>
        <c:majorTickMark val="none"/>
        <c:tickLblPos val="none"/>
        <c:crossAx val="109992576"/>
        <c:crosses val="max"/>
        <c:crossBetween val="between"/>
      </c:valAx>
    </c:plotArea>
    <c:legend>
      <c:legendPos val="b"/>
      <c:layout>
        <c:manualLayout>
          <c:xMode val="edge"/>
          <c:yMode val="edge"/>
          <c:x val="6.5398620189464378E-3"/>
          <c:y val="0.91452079994424951"/>
          <c:w val="0.98256028868418621"/>
          <c:h val="7.1039509441850779E-2"/>
        </c:manualLayout>
      </c:layout>
    </c:legend>
    <c:plotVisOnly val="1"/>
    <c:dispBlanksAs val="zero"/>
  </c:chart>
  <c:txPr>
    <a:bodyPr/>
    <a:lstStyle/>
    <a:p>
      <a:pPr>
        <a:defRPr sz="1000">
          <a:latin typeface="+mn-lt"/>
        </a:defRPr>
      </a:pPr>
      <a:endParaRPr lang="ru-RU"/>
    </a:p>
  </c:txPr>
  <c:externalData r:id="rId2"/>
  <c:userShapes r:id="rId3"/>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1200">
                <a:latin typeface="Times New Roman" pitchFamily="18" charset="0"/>
                <a:cs typeface="Times New Roman" pitchFamily="18" charset="0"/>
              </a:defRPr>
            </a:pPr>
            <a:r>
              <a:rPr lang="ru-RU" sz="1200">
                <a:latin typeface="Times New Roman" pitchFamily="18" charset="0"/>
                <a:cs typeface="Times New Roman" pitchFamily="18" charset="0"/>
              </a:rPr>
              <a:t>Исполнение</a:t>
            </a:r>
            <a:r>
              <a:rPr lang="ru-RU" sz="1200" baseline="0">
                <a:latin typeface="Times New Roman" pitchFamily="18" charset="0"/>
                <a:cs typeface="Times New Roman" pitchFamily="18" charset="0"/>
              </a:rPr>
              <a:t> государственных программ по источникам финансирования</a:t>
            </a:r>
            <a:endParaRPr lang="ru-RU" sz="1200">
              <a:latin typeface="Times New Roman" pitchFamily="18" charset="0"/>
              <a:cs typeface="Times New Roman" pitchFamily="18" charset="0"/>
            </a:endParaRPr>
          </a:p>
        </c:rich>
      </c:tx>
      <c:layout/>
    </c:title>
    <c:plotArea>
      <c:layout>
        <c:manualLayout>
          <c:layoutTarget val="inner"/>
          <c:xMode val="edge"/>
          <c:yMode val="edge"/>
          <c:x val="7.3862858132280773E-2"/>
          <c:y val="5.8313979625807914E-2"/>
          <c:w val="0.92613711948326349"/>
          <c:h val="0.62090406900606521"/>
        </c:manualLayout>
      </c:layout>
      <c:barChart>
        <c:barDir val="col"/>
        <c:grouping val="stacked"/>
        <c:ser>
          <c:idx val="0"/>
          <c:order val="0"/>
          <c:tx>
            <c:strRef>
              <c:f>Лист1!$B$1</c:f>
              <c:strCache>
                <c:ptCount val="1"/>
                <c:pt idx="0">
                  <c:v>ОБ</c:v>
                </c:pt>
              </c:strCache>
            </c:strRef>
          </c:tx>
          <c:spPr>
            <a:solidFill>
              <a:schemeClr val="accent4">
                <a:lumMod val="60000"/>
                <a:lumOff val="40000"/>
              </a:schemeClr>
            </a:solidFill>
            <a:ln>
              <a:solidFill>
                <a:sysClr val="window" lastClr="FFFFFF">
                  <a:lumMod val="65000"/>
                </a:sysClr>
              </a:solidFill>
            </a:ln>
          </c:spPr>
          <c:dLbls>
            <c:dLbl>
              <c:idx val="0"/>
              <c:layout/>
              <c:tx>
                <c:rich>
                  <a:bodyPr/>
                  <a:lstStyle/>
                  <a:p>
                    <a:r>
                      <a:rPr lang="ru-RU"/>
                      <a:t>ОБ </a:t>
                    </a:r>
                    <a:fld id="{C713F1C9-3CDF-4A7E-97D1-4454B5CA23FC}" type="VALUE">
                      <a:rPr lang="en-US"/>
                      <a:pPr/>
                      <a:t>[ЗНАЧЕНИЕ]</a:t>
                    </a:fld>
                    <a:endParaRPr lang="ru-RU"/>
                  </a:p>
                </c:rich>
              </c:tx>
              <c:showVal val="1"/>
              <c:extLst>
                <c:ext xmlns:c15="http://schemas.microsoft.com/office/drawing/2012/chart" uri="{CE6537A1-D6FC-4f65-9D91-7224C49458BB}">
                  <c15:layout/>
                  <c15:dlblFieldTable/>
                  <c15:showDataLabelsRange val="0"/>
                </c:ext>
              </c:extLst>
            </c:dLbl>
            <c:dLbl>
              <c:idx val="1"/>
              <c:layout/>
              <c:tx>
                <c:rich>
                  <a:bodyPr/>
                  <a:lstStyle/>
                  <a:p>
                    <a:r>
                      <a:rPr lang="ru-RU"/>
                      <a:t>ОБ </a:t>
                    </a:r>
                    <a:fld id="{6E588F75-10C0-40E9-9FE2-75A90107CC1E}" type="VALUE">
                      <a:rPr lang="en-US"/>
                      <a:pPr/>
                      <a:t>[ЗНАЧЕНИЕ]</a:t>
                    </a:fld>
                    <a:endParaRPr lang="ru-RU"/>
                  </a:p>
                </c:rich>
              </c:tx>
              <c:showVal val="1"/>
              <c:extLst>
                <c:ext xmlns:c15="http://schemas.microsoft.com/office/drawing/2012/chart" uri="{CE6537A1-D6FC-4f65-9D91-7224C49458BB}">
                  <c15:layout/>
                  <c15:dlblFieldTable/>
                  <c15:showDataLabelsRange val="0"/>
                </c:ext>
              </c:extLst>
            </c:dLbl>
            <c:dLbl>
              <c:idx val="2"/>
              <c:layout/>
              <c:tx>
                <c:rich>
                  <a:bodyPr/>
                  <a:lstStyle/>
                  <a:p>
                    <a:r>
                      <a:rPr lang="ru-RU"/>
                      <a:t>ОБ </a:t>
                    </a:r>
                    <a:fld id="{61264AFC-F423-4021-8F5C-FD64D9F918E6}" type="VALUE">
                      <a:rPr lang="en-US"/>
                      <a:pPr/>
                      <a:t>[ЗНАЧЕНИЕ]</a:t>
                    </a:fld>
                    <a:endParaRPr lang="ru-RU"/>
                  </a:p>
                </c:rich>
              </c:tx>
              <c:showVal val="1"/>
              <c:extLst>
                <c:ext xmlns:c15="http://schemas.microsoft.com/office/drawing/2012/chart" uri="{CE6537A1-D6FC-4f65-9D91-7224C49458BB}">
                  <c15:layout/>
                  <c15:dlblFieldTable/>
                  <c15:showDataLabelsRange val="0"/>
                </c:ext>
              </c:extLst>
            </c:dLbl>
            <c:dLbl>
              <c:idx val="3"/>
              <c:layout/>
              <c:tx>
                <c:rich>
                  <a:bodyPr/>
                  <a:lstStyle/>
                  <a:p>
                    <a:r>
                      <a:rPr lang="ru-RU"/>
                      <a:t>ОБ </a:t>
                    </a:r>
                    <a:fld id="{31C57124-C448-4640-9BBC-9372CF9B780E}" type="VALUE">
                      <a:rPr lang="en-US"/>
                      <a:pPr/>
                      <a:t>[ЗНАЧЕНИЕ]</a:t>
                    </a:fld>
                    <a:endParaRPr lang="ru-RU"/>
                  </a:p>
                </c:rich>
              </c:tx>
              <c:showVal val="1"/>
              <c:extLst>
                <c:ext xmlns:c15="http://schemas.microsoft.com/office/drawing/2012/chart" uri="{CE6537A1-D6FC-4f65-9D91-7224C49458BB}">
                  <c15:layout/>
                  <c15:dlblFieldTable/>
                  <c15:showDataLabelsRange val="0"/>
                </c:ext>
              </c:extLst>
            </c:dLbl>
            <c:dLbl>
              <c:idx val="4"/>
              <c:layout/>
              <c:tx>
                <c:rich>
                  <a:bodyPr/>
                  <a:lstStyle/>
                  <a:p>
                    <a:r>
                      <a:rPr lang="ru-RU"/>
                      <a:t>ОБ </a:t>
                    </a:r>
                    <a:fld id="{7A53A34C-3E1C-454B-8F91-D9E3AF9597D4}" type="VALUE">
                      <a:rPr lang="en-US"/>
                      <a:pPr/>
                      <a:t>[ЗНАЧЕНИЕ]</a:t>
                    </a:fld>
                    <a:endParaRPr lang="ru-RU"/>
                  </a:p>
                </c:rich>
              </c:tx>
              <c:showVal val="1"/>
              <c:extLst>
                <c:ext xmlns:c15="http://schemas.microsoft.com/office/drawing/2012/chart" uri="{CE6537A1-D6FC-4f65-9D91-7224C49458BB}">
                  <c15:layout/>
                  <c15:dlblFieldTable/>
                  <c15:showDataLabelsRange val="0"/>
                </c:ext>
              </c:extLst>
            </c:dLbl>
            <c:dLbl>
              <c:idx val="5"/>
              <c:layout/>
              <c:tx>
                <c:rich>
                  <a:bodyPr/>
                  <a:lstStyle/>
                  <a:p>
                    <a:r>
                      <a:rPr lang="ru-RU"/>
                      <a:t>ОБ </a:t>
                    </a:r>
                    <a:fld id="{9C362204-6239-4DE8-B1B7-1BBFA07BED25}" type="VALUE">
                      <a:rPr lang="en-US"/>
                      <a:pPr/>
                      <a:t>[ЗНАЧЕНИЕ]</a:t>
                    </a:fld>
                    <a:endParaRPr lang="ru-RU"/>
                  </a:p>
                </c:rich>
              </c:tx>
              <c:showVal val="1"/>
              <c:extLst>
                <c:ext xmlns:c15="http://schemas.microsoft.com/office/drawing/2012/chart" uri="{CE6537A1-D6FC-4f65-9D91-7224C49458BB}">
                  <c15:layout/>
                  <c15:dlblFieldTable/>
                  <c15:showDataLabelsRange val="0"/>
                </c:ext>
              </c:extLst>
            </c:dLbl>
            <c:dLbl>
              <c:idx val="6"/>
              <c:layout/>
              <c:tx>
                <c:rich>
                  <a:bodyPr/>
                  <a:lstStyle/>
                  <a:p>
                    <a:r>
                      <a:rPr lang="ru-RU"/>
                      <a:t>ОБ </a:t>
                    </a:r>
                    <a:fld id="{35206D56-A134-450F-9648-A606BD61490F}" type="VALUE">
                      <a:rPr lang="en-US"/>
                      <a:pPr/>
                      <a:t>[ЗНАЧЕНИЕ]</a:t>
                    </a:fld>
                    <a:endParaRPr lang="ru-RU"/>
                  </a:p>
                </c:rich>
              </c:tx>
              <c:showVal val="1"/>
              <c:extLst>
                <c:ext xmlns:c15="http://schemas.microsoft.com/office/drawing/2012/chart" uri="{CE6537A1-D6FC-4f65-9D91-7224C49458BB}">
                  <c15:layout/>
                  <c15:dlblFieldTable/>
                  <c15:showDataLabelsRange val="0"/>
                </c:ext>
              </c:extLst>
            </c:dLbl>
            <c:dLbl>
              <c:idx val="7"/>
              <c:layout/>
              <c:tx>
                <c:rich>
                  <a:bodyPr/>
                  <a:lstStyle/>
                  <a:p>
                    <a:r>
                      <a:rPr lang="ru-RU"/>
                      <a:t>ОБ </a:t>
                    </a:r>
                    <a:fld id="{776356A0-B830-4A33-93A0-AC25DF3D7959}" type="VALUE">
                      <a:rPr lang="en-US"/>
                      <a:pPr/>
                      <a:t>[ЗНАЧЕНИЕ]</a:t>
                    </a:fld>
                    <a:endParaRPr lang="ru-RU"/>
                  </a:p>
                </c:rich>
              </c:tx>
              <c:showVal val="1"/>
              <c:extLst>
                <c:ext xmlns:c15="http://schemas.microsoft.com/office/drawing/2012/chart" uri="{CE6537A1-D6FC-4f65-9D91-7224C49458BB}">
                  <c15:layout/>
                  <c15:dlblFieldTable/>
                  <c15:showDataLabelsRange val="0"/>
                </c:ext>
              </c:extLst>
            </c:dLbl>
            <c:dLbl>
              <c:idx val="8"/>
              <c:layout/>
              <c:tx>
                <c:rich>
                  <a:bodyPr/>
                  <a:lstStyle/>
                  <a:p>
                    <a:r>
                      <a:rPr lang="ru-RU"/>
                      <a:t>ОБ </a:t>
                    </a:r>
                    <a:fld id="{DE254E7A-D71B-4427-82FD-C85619567E68}" type="VALUE">
                      <a:rPr lang="en-US"/>
                      <a:pPr/>
                      <a:t>[ЗНАЧЕНИЕ]</a:t>
                    </a:fld>
                    <a:endParaRPr lang="ru-RU"/>
                  </a:p>
                </c:rich>
              </c:tx>
              <c:showVal val="1"/>
              <c:extLst>
                <c:ext xmlns:c15="http://schemas.microsoft.com/office/drawing/2012/chart" uri="{CE6537A1-D6FC-4f65-9D91-7224C49458BB}">
                  <c15:layout/>
                  <c15:dlblFieldTable/>
                  <c15:showDataLabelsRange val="0"/>
                </c:ext>
              </c:extLst>
            </c:dLbl>
            <c:dLbl>
              <c:idx val="9"/>
              <c:layout/>
              <c:tx>
                <c:rich>
                  <a:bodyPr/>
                  <a:lstStyle/>
                  <a:p>
                    <a:r>
                      <a:rPr lang="ru-RU"/>
                      <a:t>ОБ </a:t>
                    </a:r>
                    <a:fld id="{326CE847-CE9B-4B98-8964-CCB9A3BFE904}" type="VALUE">
                      <a:rPr lang="en-US"/>
                      <a:pPr/>
                      <a:t>[ЗНАЧЕНИЕ]</a:t>
                    </a:fld>
                    <a:endParaRPr lang="ru-RU"/>
                  </a:p>
                </c:rich>
              </c:tx>
              <c:showVal val="1"/>
              <c:extLst>
                <c:ext xmlns:c15="http://schemas.microsoft.com/office/drawing/2012/chart" uri="{CE6537A1-D6FC-4f65-9D91-7224C49458BB}">
                  <c15:layout/>
                  <c15:dlblFieldTable/>
                  <c15:showDataLabelsRange val="0"/>
                </c:ext>
              </c:extLst>
            </c:dLbl>
            <c:spPr>
              <a:noFill/>
              <a:ln>
                <a:noFill/>
              </a:ln>
              <a:effectLst/>
            </c:spPr>
            <c:showVal val="1"/>
            <c:extLst>
              <c:ext xmlns:c15="http://schemas.microsoft.com/office/drawing/2012/chart" uri="{CE6537A1-D6FC-4f65-9D91-7224C49458BB}">
                <c15:showLeaderLines val="1"/>
              </c:ext>
            </c:extLst>
          </c:dLbls>
          <c:cat>
            <c:strRef>
              <c:f>Лист1!$A$2:$A$11</c:f>
              <c:strCache>
                <c:ptCount val="10"/>
                <c:pt idx="0">
                  <c:v>Развитие физической культуры и спорта</c:v>
                </c:pt>
                <c:pt idx="1">
                  <c:v>Развитие культуры и сохранение культурного наследия</c:v>
                </c:pt>
                <c:pt idx="2">
                  <c:v>Обеспечение общественного порядка и безопасности населения</c:v>
                </c:pt>
                <c:pt idx="3">
                  <c:v>Управление развитием регионального рынка труда</c:v>
                </c:pt>
                <c:pt idx="4">
                  <c:v>Государственное управление и гражданское общество</c:v>
                </c:pt>
                <c:pt idx="5">
                  <c:v>Развитие экономического потенциала</c:v>
                </c:pt>
                <c:pt idx="6">
                  <c:v>Развитие рыбного и сельского хозяйства</c:v>
                </c:pt>
                <c:pt idx="7">
                  <c:v>Охрана окружающей среды</c:v>
                </c:pt>
                <c:pt idx="8">
                  <c:v>Формирование современной городской среды Мурманской области</c:v>
                </c:pt>
                <c:pt idx="9">
                  <c:v>Информационное общество</c:v>
                </c:pt>
              </c:strCache>
            </c:strRef>
          </c:cat>
          <c:val>
            <c:numRef>
              <c:f>Лист1!$B$2:$B$11</c:f>
              <c:numCache>
                <c:formatCode>#,##0.0</c:formatCode>
                <c:ptCount val="10"/>
                <c:pt idx="0">
                  <c:v>1377.2925667700001</c:v>
                </c:pt>
                <c:pt idx="1">
                  <c:v>1616.6512348799986</c:v>
                </c:pt>
                <c:pt idx="2">
                  <c:v>1812.5702999999999</c:v>
                </c:pt>
                <c:pt idx="3">
                  <c:v>411.26729999999981</c:v>
                </c:pt>
                <c:pt idx="4">
                  <c:v>1275.9357000000007</c:v>
                </c:pt>
                <c:pt idx="5">
                  <c:v>588.87470097000062</c:v>
                </c:pt>
                <c:pt idx="6">
                  <c:v>611.93683081999961</c:v>
                </c:pt>
                <c:pt idx="7">
                  <c:v>201.99664092</c:v>
                </c:pt>
                <c:pt idx="8">
                  <c:v>306.49899999999974</c:v>
                </c:pt>
                <c:pt idx="9">
                  <c:v>604.1694</c:v>
                </c:pt>
              </c:numCache>
            </c:numRef>
          </c:val>
        </c:ser>
        <c:ser>
          <c:idx val="1"/>
          <c:order val="1"/>
          <c:tx>
            <c:strRef>
              <c:f>Лист1!$C$1</c:f>
              <c:strCache>
                <c:ptCount val="1"/>
                <c:pt idx="0">
                  <c:v>ФБ</c:v>
                </c:pt>
              </c:strCache>
            </c:strRef>
          </c:tx>
          <c:spPr>
            <a:solidFill>
              <a:srgbClr val="92D050"/>
            </a:solidFill>
            <a:ln>
              <a:solidFill>
                <a:sysClr val="window" lastClr="FFFFFF">
                  <a:lumMod val="65000"/>
                </a:sysClr>
              </a:solidFill>
            </a:ln>
          </c:spPr>
          <c:dLbls>
            <c:dLbl>
              <c:idx val="0"/>
              <c:layout/>
              <c:tx>
                <c:rich>
                  <a:bodyPr/>
                  <a:lstStyle/>
                  <a:p>
                    <a:r>
                      <a:rPr lang="ru-RU"/>
                      <a:t>ФБ </a:t>
                    </a:r>
                    <a:fld id="{BC008BEA-AB7F-4566-83FD-ABAC1F8D79DD}" type="VALUE">
                      <a:rPr lang="en-US"/>
                      <a:pPr/>
                      <a:t>[ЗНАЧЕНИЕ]</a:t>
                    </a:fld>
                    <a:endParaRPr lang="ru-RU"/>
                  </a:p>
                </c:rich>
              </c:tx>
              <c:showVal val="1"/>
              <c:extLst>
                <c:ext xmlns:c15="http://schemas.microsoft.com/office/drawing/2012/chart" uri="{CE6537A1-D6FC-4f65-9D91-7224C49458BB}">
                  <c15:layout/>
                  <c15:dlblFieldTable/>
                  <c15:showDataLabelsRange val="0"/>
                </c:ext>
              </c:extLst>
            </c:dLbl>
            <c:dLbl>
              <c:idx val="1"/>
              <c:layout>
                <c:manualLayout>
                  <c:x val="2.7303754266211604E-3"/>
                  <c:y val="2.1304296366433849E-2"/>
                </c:manualLayout>
              </c:layout>
              <c:tx>
                <c:rich>
                  <a:bodyPr/>
                  <a:lstStyle/>
                  <a:p>
                    <a:r>
                      <a:rPr lang="ru-RU"/>
                      <a:t>ФБ </a:t>
                    </a:r>
                    <a:fld id="{AE599CD5-16BE-4413-AB86-FAB5CE1AE7AA}" type="VALUE">
                      <a:rPr lang="en-US"/>
                      <a:pPr/>
                      <a:t>[ЗНАЧЕНИЕ]</a:t>
                    </a:fld>
                    <a:endParaRPr lang="ru-RU"/>
                  </a:p>
                </c:rich>
              </c:tx>
              <c:showVal val="1"/>
              <c:extLst>
                <c:ext xmlns:c15="http://schemas.microsoft.com/office/drawing/2012/chart" uri="{CE6537A1-D6FC-4f65-9D91-7224C49458BB}">
                  <c15:layout/>
                  <c15:dlblFieldTable/>
                  <c15:showDataLabelsRange val="0"/>
                </c:ext>
              </c:extLst>
            </c:dLbl>
            <c:dLbl>
              <c:idx val="2"/>
              <c:delete val="1"/>
              <c:extLst>
                <c:ext xmlns:c15="http://schemas.microsoft.com/office/drawing/2012/chart" uri="{CE6537A1-D6FC-4f65-9D91-7224C49458BB}"/>
              </c:extLst>
            </c:dLbl>
            <c:dLbl>
              <c:idx val="3"/>
              <c:layout/>
              <c:tx>
                <c:rich>
                  <a:bodyPr/>
                  <a:lstStyle/>
                  <a:p>
                    <a:r>
                      <a:rPr lang="ru-RU"/>
                      <a:t>ФБ </a:t>
                    </a:r>
                    <a:fld id="{DBB90E90-2F0B-4267-8CE1-0F20691FC2E2}" type="VALUE">
                      <a:rPr lang="en-US"/>
                      <a:pPr/>
                      <a:t>[ЗНАЧЕНИЕ]</a:t>
                    </a:fld>
                    <a:endParaRPr lang="ru-RU"/>
                  </a:p>
                </c:rich>
              </c:tx>
              <c:showVal val="1"/>
              <c:extLst>
                <c:ext xmlns:c15="http://schemas.microsoft.com/office/drawing/2012/chart" uri="{CE6537A1-D6FC-4f65-9D91-7224C49458BB}">
                  <c15:layout/>
                  <c15:dlblFieldTable/>
                  <c15:showDataLabelsRange val="0"/>
                </c:ext>
              </c:extLst>
            </c:dLbl>
            <c:dLbl>
              <c:idx val="4"/>
              <c:layout/>
              <c:tx>
                <c:rich>
                  <a:bodyPr/>
                  <a:lstStyle/>
                  <a:p>
                    <a:r>
                      <a:rPr lang="ru-RU"/>
                      <a:t>ФБ </a:t>
                    </a:r>
                    <a:fld id="{0A596FD6-2D65-4804-84A1-CF6E74AF882F}" type="VALUE">
                      <a:rPr lang="en-US"/>
                      <a:pPr/>
                      <a:t>[ЗНАЧЕНИЕ]</a:t>
                    </a:fld>
                    <a:endParaRPr lang="ru-RU"/>
                  </a:p>
                </c:rich>
              </c:tx>
              <c:showVal val="1"/>
              <c:extLst>
                <c:ext xmlns:c15="http://schemas.microsoft.com/office/drawing/2012/chart" uri="{CE6537A1-D6FC-4f65-9D91-7224C49458BB}">
                  <c15:layout/>
                  <c15:dlblFieldTable/>
                  <c15:showDataLabelsRange val="0"/>
                </c:ext>
              </c:extLst>
            </c:dLbl>
            <c:dLbl>
              <c:idx val="5"/>
              <c:layout/>
              <c:tx>
                <c:rich>
                  <a:bodyPr/>
                  <a:lstStyle/>
                  <a:p>
                    <a:r>
                      <a:rPr lang="ru-RU"/>
                      <a:t>ФБ </a:t>
                    </a:r>
                    <a:fld id="{D2FA7C6C-71EB-457C-84EB-3894293DFC75}" type="VALUE">
                      <a:rPr lang="en-US"/>
                      <a:pPr/>
                      <a:t>[ЗНАЧЕНИЕ]</a:t>
                    </a:fld>
                    <a:endParaRPr lang="ru-RU"/>
                  </a:p>
                </c:rich>
              </c:tx>
              <c:showVal val="1"/>
              <c:extLst>
                <c:ext xmlns:c15="http://schemas.microsoft.com/office/drawing/2012/chart" uri="{CE6537A1-D6FC-4f65-9D91-7224C49458BB}">
                  <c15:layout/>
                  <c15:dlblFieldTable/>
                  <c15:showDataLabelsRange val="0"/>
                </c:ext>
              </c:extLst>
            </c:dLbl>
            <c:dLbl>
              <c:idx val="6"/>
              <c:layout/>
              <c:tx>
                <c:rich>
                  <a:bodyPr/>
                  <a:lstStyle/>
                  <a:p>
                    <a:r>
                      <a:rPr lang="ru-RU"/>
                      <a:t>ФБ </a:t>
                    </a:r>
                    <a:fld id="{3B2FEFFD-4314-4EBC-A78D-CA647B1F2697}" type="VALUE">
                      <a:rPr lang="en-US"/>
                      <a:pPr/>
                      <a:t>[ЗНАЧЕНИЕ]</a:t>
                    </a:fld>
                    <a:endParaRPr lang="ru-RU"/>
                  </a:p>
                </c:rich>
              </c:tx>
              <c:showVal val="1"/>
              <c:extLst>
                <c:ext xmlns:c15="http://schemas.microsoft.com/office/drawing/2012/chart" uri="{CE6537A1-D6FC-4f65-9D91-7224C49458BB}">
                  <c15:layout/>
                  <c15:dlblFieldTable/>
                  <c15:showDataLabelsRange val="0"/>
                </c:ext>
              </c:extLst>
            </c:dLbl>
            <c:dLbl>
              <c:idx val="7"/>
              <c:layout/>
              <c:tx>
                <c:rich>
                  <a:bodyPr/>
                  <a:lstStyle/>
                  <a:p>
                    <a:r>
                      <a:rPr lang="ru-RU"/>
                      <a:t>ФБ </a:t>
                    </a:r>
                    <a:fld id="{F6E81870-F669-45F0-A387-516AB1D5EDC5}" type="VALUE">
                      <a:rPr lang="en-US"/>
                      <a:pPr/>
                      <a:t>[ЗНАЧЕНИЕ]</a:t>
                    </a:fld>
                    <a:endParaRPr lang="ru-RU"/>
                  </a:p>
                </c:rich>
              </c:tx>
              <c:showVal val="1"/>
              <c:extLst>
                <c:ext xmlns:c15="http://schemas.microsoft.com/office/drawing/2012/chart" uri="{CE6537A1-D6FC-4f65-9D91-7224C49458BB}">
                  <c15:layout/>
                  <c15:dlblFieldTable/>
                  <c15:showDataLabelsRange val="0"/>
                </c:ext>
              </c:extLst>
            </c:dLbl>
            <c:dLbl>
              <c:idx val="8"/>
              <c:layout/>
              <c:tx>
                <c:rich>
                  <a:bodyPr/>
                  <a:lstStyle/>
                  <a:p>
                    <a:r>
                      <a:rPr lang="ru-RU"/>
                      <a:t>ФБ </a:t>
                    </a:r>
                    <a:fld id="{04B06790-0C38-42D7-8D33-A79E71C93929}" type="VALUE">
                      <a:rPr lang="en-US"/>
                      <a:pPr/>
                      <a:t>[ЗНАЧЕНИЕ]</a:t>
                    </a:fld>
                    <a:endParaRPr lang="ru-RU"/>
                  </a:p>
                </c:rich>
              </c:tx>
              <c:showVal val="1"/>
              <c:extLst>
                <c:ext xmlns:c15="http://schemas.microsoft.com/office/drawing/2012/chart" uri="{CE6537A1-D6FC-4f65-9D91-7224C49458BB}">
                  <c15:layout/>
                  <c15:dlblFieldTable/>
                  <c15:showDataLabelsRange val="0"/>
                </c:ext>
              </c:extLst>
            </c:dLbl>
            <c:spPr>
              <a:noFill/>
              <a:ln>
                <a:noFill/>
              </a:ln>
              <a:effectLst/>
            </c:spPr>
            <c:showVal val="1"/>
            <c:extLst>
              <c:ext xmlns:c15="http://schemas.microsoft.com/office/drawing/2012/chart" uri="{CE6537A1-D6FC-4f65-9D91-7224C49458BB}">
                <c15:layout/>
                <c15:showLeaderLines val="1"/>
              </c:ext>
            </c:extLst>
          </c:dLbls>
          <c:cat>
            <c:strRef>
              <c:f>Лист1!$A$2:$A$11</c:f>
              <c:strCache>
                <c:ptCount val="10"/>
                <c:pt idx="0">
                  <c:v>Развитие физической культуры и спорта</c:v>
                </c:pt>
                <c:pt idx="1">
                  <c:v>Развитие культуры и сохранение культурного наследия</c:v>
                </c:pt>
                <c:pt idx="2">
                  <c:v>Обеспечение общественного порядка и безопасности населения</c:v>
                </c:pt>
                <c:pt idx="3">
                  <c:v>Управление развитием регионального рынка труда</c:v>
                </c:pt>
                <c:pt idx="4">
                  <c:v>Государственное управление и гражданское общество</c:v>
                </c:pt>
                <c:pt idx="5">
                  <c:v>Развитие экономического потенциала</c:v>
                </c:pt>
                <c:pt idx="6">
                  <c:v>Развитие рыбного и сельского хозяйства</c:v>
                </c:pt>
                <c:pt idx="7">
                  <c:v>Охрана окружающей среды</c:v>
                </c:pt>
                <c:pt idx="8">
                  <c:v>Формирование современной городской среды Мурманской области</c:v>
                </c:pt>
                <c:pt idx="9">
                  <c:v>Информационное общество</c:v>
                </c:pt>
              </c:strCache>
            </c:strRef>
          </c:cat>
          <c:val>
            <c:numRef>
              <c:f>Лист1!$C$2:$C$11</c:f>
              <c:numCache>
                <c:formatCode>#,##0.0</c:formatCode>
                <c:ptCount val="10"/>
                <c:pt idx="0">
                  <c:v>705.62609999999961</c:v>
                </c:pt>
                <c:pt idx="1">
                  <c:v>421.98537299999964</c:v>
                </c:pt>
                <c:pt idx="3">
                  <c:v>1036.9594</c:v>
                </c:pt>
                <c:pt idx="4">
                  <c:v>80.421200000000027</c:v>
                </c:pt>
                <c:pt idx="5">
                  <c:v>404.7124</c:v>
                </c:pt>
                <c:pt idx="6">
                  <c:v>142.92621000000008</c:v>
                </c:pt>
                <c:pt idx="7">
                  <c:v>450.55990000000008</c:v>
                </c:pt>
                <c:pt idx="8">
                  <c:v>333.35809999999981</c:v>
                </c:pt>
                <c:pt idx="9">
                  <c:v>3.0523999999999987</c:v>
                </c:pt>
              </c:numCache>
            </c:numRef>
          </c:val>
        </c:ser>
        <c:ser>
          <c:idx val="2"/>
          <c:order val="2"/>
          <c:tx>
            <c:strRef>
              <c:f>Лист1!$D$1</c:f>
              <c:strCache>
                <c:ptCount val="1"/>
                <c:pt idx="0">
                  <c:v>МБ</c:v>
                </c:pt>
              </c:strCache>
            </c:strRef>
          </c:tx>
          <c:spPr>
            <a:solidFill>
              <a:srgbClr val="00B0F0"/>
            </a:solidFill>
            <a:ln>
              <a:solidFill>
                <a:sysClr val="window" lastClr="FFFFFF">
                  <a:lumMod val="65000"/>
                </a:sysClr>
              </a:solidFill>
            </a:ln>
          </c:spPr>
          <c:dLbls>
            <c:dLbl>
              <c:idx val="8"/>
              <c:layout/>
              <c:tx>
                <c:rich>
                  <a:bodyPr/>
                  <a:lstStyle/>
                  <a:p>
                    <a:r>
                      <a:rPr lang="ru-RU"/>
                      <a:t>МБ </a:t>
                    </a:r>
                    <a:fld id="{A9E4B0D6-EE84-4960-AAD4-84F96601B0CD}" type="VALUE">
                      <a:rPr lang="en-US"/>
                      <a:pPr/>
                      <a:t>[ЗНАЧЕНИЕ]</a:t>
                    </a:fld>
                    <a:endParaRPr lang="ru-RU"/>
                  </a:p>
                </c:rich>
              </c:tx>
              <c:showVal val="1"/>
              <c:extLst>
                <c:ext xmlns:c15="http://schemas.microsoft.com/office/drawing/2012/chart" uri="{CE6537A1-D6FC-4f65-9D91-7224C49458BB}">
                  <c15:layout/>
                  <c15:dlblFieldTable/>
                  <c15:showDataLabelsRange val="0"/>
                </c:ext>
              </c:extLst>
            </c:dLbl>
            <c:delete val="1"/>
            <c:extLst>
              <c:ext xmlns:c15="http://schemas.microsoft.com/office/drawing/2012/chart" uri="{CE6537A1-D6FC-4f65-9D91-7224C49458BB}">
                <c15:showLeaderLines val="1"/>
              </c:ext>
            </c:extLst>
          </c:dLbls>
          <c:cat>
            <c:strRef>
              <c:f>Лист1!$A$2:$A$11</c:f>
              <c:strCache>
                <c:ptCount val="10"/>
                <c:pt idx="0">
                  <c:v>Развитие физической культуры и спорта</c:v>
                </c:pt>
                <c:pt idx="1">
                  <c:v>Развитие культуры и сохранение культурного наследия</c:v>
                </c:pt>
                <c:pt idx="2">
                  <c:v>Обеспечение общественного порядка и безопасности населения</c:v>
                </c:pt>
                <c:pt idx="3">
                  <c:v>Управление развитием регионального рынка труда</c:v>
                </c:pt>
                <c:pt idx="4">
                  <c:v>Государственное управление и гражданское общество</c:v>
                </c:pt>
                <c:pt idx="5">
                  <c:v>Развитие экономического потенциала</c:v>
                </c:pt>
                <c:pt idx="6">
                  <c:v>Развитие рыбного и сельского хозяйства</c:v>
                </c:pt>
                <c:pt idx="7">
                  <c:v>Охрана окружающей среды</c:v>
                </c:pt>
                <c:pt idx="8">
                  <c:v>Формирование современной городской среды Мурманской области</c:v>
                </c:pt>
                <c:pt idx="9">
                  <c:v>Информационное общество</c:v>
                </c:pt>
              </c:strCache>
            </c:strRef>
          </c:cat>
          <c:val>
            <c:numRef>
              <c:f>Лист1!$D$2:$D$11</c:f>
              <c:numCache>
                <c:formatCode>#,##0.0</c:formatCode>
                <c:ptCount val="10"/>
                <c:pt idx="0">
                  <c:v>104.458625031579</c:v>
                </c:pt>
                <c:pt idx="1">
                  <c:v>21.645424739999989</c:v>
                </c:pt>
                <c:pt idx="3">
                  <c:v>0</c:v>
                </c:pt>
                <c:pt idx="4">
                  <c:v>0</c:v>
                </c:pt>
                <c:pt idx="5">
                  <c:v>8.6028560000000027</c:v>
                </c:pt>
                <c:pt idx="6">
                  <c:v>1.3770199999999999</c:v>
                </c:pt>
                <c:pt idx="7">
                  <c:v>23.120533729999988</c:v>
                </c:pt>
                <c:pt idx="8">
                  <c:v>161.3284000000001</c:v>
                </c:pt>
                <c:pt idx="9">
                  <c:v>0</c:v>
                </c:pt>
              </c:numCache>
            </c:numRef>
          </c:val>
        </c:ser>
        <c:ser>
          <c:idx val="3"/>
          <c:order val="3"/>
          <c:tx>
            <c:strRef>
              <c:f>Лист1!$E$1</c:f>
              <c:strCache>
                <c:ptCount val="1"/>
                <c:pt idx="0">
                  <c:v>ВБС</c:v>
                </c:pt>
              </c:strCache>
            </c:strRef>
          </c:tx>
          <c:spPr>
            <a:solidFill>
              <a:srgbClr val="FFC000"/>
            </a:solidFill>
            <a:ln>
              <a:solidFill>
                <a:schemeClr val="bg1">
                  <a:lumMod val="65000"/>
                </a:schemeClr>
              </a:solidFill>
            </a:ln>
          </c:spPr>
          <c:dLbls>
            <c:dLbl>
              <c:idx val="0"/>
              <c:layout>
                <c:manualLayout>
                  <c:x val="-1.2514076141671576E-17"/>
                  <c:y val="4.5961162817419283E-3"/>
                </c:manualLayout>
              </c:layout>
              <c:tx>
                <c:rich>
                  <a:bodyPr/>
                  <a:lstStyle/>
                  <a:p>
                    <a:r>
                      <a:rPr lang="ru-RU"/>
                      <a:t>ВБС </a:t>
                    </a:r>
                    <a:fld id="{2BCAAA79-32F4-4989-8977-AEE8ED981972}" type="VALUE">
                      <a:rPr lang="en-US"/>
                      <a:pPr/>
                      <a:t>[ЗНАЧЕНИЕ]</a:t>
                    </a:fld>
                    <a:endParaRPr lang="ru-RU"/>
                  </a:p>
                </c:rich>
              </c:tx>
              <c:showVal val="1"/>
              <c:extLst>
                <c:ext xmlns:c15="http://schemas.microsoft.com/office/drawing/2012/chart" uri="{CE6537A1-D6FC-4f65-9D91-7224C49458BB}">
                  <c15:layout/>
                  <c15:dlblFieldTable/>
                  <c15:showDataLabelsRange val="0"/>
                </c:ext>
              </c:extLst>
            </c:dLbl>
            <c:dLbl>
              <c:idx val="1"/>
              <c:delete val="1"/>
              <c:extLst>
                <c:ext xmlns:c15="http://schemas.microsoft.com/office/drawing/2012/chart" uri="{CE6537A1-D6FC-4f65-9D91-7224C49458BB}"/>
              </c:extLst>
            </c:dLbl>
            <c:dLbl>
              <c:idx val="2"/>
              <c:delete val="1"/>
              <c:extLst>
                <c:ext xmlns:c15="http://schemas.microsoft.com/office/drawing/2012/chart" uri="{CE6537A1-D6FC-4f65-9D91-7224C49458BB}"/>
              </c:extLst>
            </c:dLbl>
            <c:dLbl>
              <c:idx val="3"/>
              <c:layout>
                <c:manualLayout>
                  <c:x val="-2.1843003412969342E-2"/>
                  <c:y val="0"/>
                </c:manualLayout>
              </c:layout>
              <c:tx>
                <c:rich>
                  <a:bodyPr/>
                  <a:lstStyle/>
                  <a:p>
                    <a:r>
                      <a:rPr lang="ru-RU"/>
                      <a:t>ВБС </a:t>
                    </a:r>
                    <a:fld id="{A79D2DC7-4B43-41E1-BD56-210CC310C581}" type="VALUE">
                      <a:rPr lang="en-US"/>
                      <a:pPr/>
                      <a:t>[ЗНАЧЕНИЕ]</a:t>
                    </a:fld>
                    <a:endParaRPr lang="ru-RU"/>
                  </a:p>
                </c:rich>
              </c:tx>
              <c:showVal val="1"/>
              <c:extLst>
                <c:ext xmlns:c15="http://schemas.microsoft.com/office/drawing/2012/chart" uri="{CE6537A1-D6FC-4f65-9D91-7224C49458BB}">
                  <c15:layout/>
                  <c15:dlblFieldTable/>
                  <c15:showDataLabelsRange val="0"/>
                </c:ext>
              </c:extLst>
            </c:dLbl>
            <c:dLbl>
              <c:idx val="4"/>
              <c:layout>
                <c:manualLayout>
                  <c:x val="-1.3651877133105814E-2"/>
                  <c:y val="-2.0682523267838652E-2"/>
                </c:manualLayout>
              </c:layout>
              <c:tx>
                <c:rich>
                  <a:bodyPr/>
                  <a:lstStyle/>
                  <a:p>
                    <a:r>
                      <a:rPr lang="ru-RU"/>
                      <a:t>ВБС </a:t>
                    </a:r>
                    <a:fld id="{227C25F2-F120-49E2-B1E7-C58AA0AF5961}" type="VALUE">
                      <a:rPr lang="en-US"/>
                      <a:pPr/>
                      <a:t>[ЗНАЧЕНИЕ]</a:t>
                    </a:fld>
                    <a:endParaRPr lang="ru-RU"/>
                  </a:p>
                </c:rich>
              </c:tx>
              <c:showVal val="1"/>
              <c:extLst>
                <c:ext xmlns:c15="http://schemas.microsoft.com/office/drawing/2012/chart" uri="{CE6537A1-D6FC-4f65-9D91-7224C49458BB}">
                  <c15:layout/>
                  <c15:dlblFieldTable/>
                  <c15:showDataLabelsRange val="0"/>
                </c:ext>
              </c:extLst>
            </c:dLbl>
            <c:dLbl>
              <c:idx val="5"/>
              <c:layout>
                <c:manualLayout>
                  <c:x val="0"/>
                  <c:y val="-1.8384465126967814E-2"/>
                </c:manualLayout>
              </c:layout>
              <c:tx>
                <c:rich>
                  <a:bodyPr/>
                  <a:lstStyle/>
                  <a:p>
                    <a:r>
                      <a:rPr lang="ru-RU"/>
                      <a:t>ВБС </a:t>
                    </a:r>
                    <a:fld id="{E1C84C61-FD21-42D8-9875-151CFE622D5B}" type="VALUE">
                      <a:rPr lang="en-US"/>
                      <a:pPr/>
                      <a:t>[ЗНАЧЕНИЕ]</a:t>
                    </a:fld>
                    <a:endParaRPr lang="ru-RU"/>
                  </a:p>
                </c:rich>
              </c:tx>
              <c:showVal val="1"/>
              <c:extLst>
                <c:ext xmlns:c15="http://schemas.microsoft.com/office/drawing/2012/chart" uri="{CE6537A1-D6FC-4f65-9D91-7224C49458BB}">
                  <c15:layout/>
                  <c15:dlblFieldTable/>
                  <c15:showDataLabelsRange val="0"/>
                </c:ext>
              </c:extLst>
            </c:dLbl>
            <c:dLbl>
              <c:idx val="6"/>
              <c:layout/>
              <c:tx>
                <c:rich>
                  <a:bodyPr/>
                  <a:lstStyle/>
                  <a:p>
                    <a:r>
                      <a:rPr lang="ru-RU"/>
                      <a:t>ВБС </a:t>
                    </a:r>
                    <a:fld id="{FAB38353-4D21-4D95-BC5D-F5DD247A1560}" type="VALUE">
                      <a:rPr lang="en-US"/>
                      <a:pPr/>
                      <a:t>[ЗНАЧЕНИЕ]</a:t>
                    </a:fld>
                    <a:endParaRPr lang="ru-RU"/>
                  </a:p>
                </c:rich>
              </c:tx>
              <c:showVal val="1"/>
              <c:extLst>
                <c:ext xmlns:c15="http://schemas.microsoft.com/office/drawing/2012/chart" uri="{CE6537A1-D6FC-4f65-9D91-7224C49458BB}">
                  <c15:layout/>
                  <c15:dlblFieldTable/>
                  <c15:showDataLabelsRange val="0"/>
                </c:ext>
              </c:extLst>
            </c:dLbl>
            <c:dLbl>
              <c:idx val="7"/>
              <c:layout>
                <c:manualLayout>
                  <c:x val="0"/>
                  <c:y val="4.5961162817419283E-3"/>
                </c:manualLayout>
              </c:layout>
              <c:tx>
                <c:rich>
                  <a:bodyPr/>
                  <a:lstStyle/>
                  <a:p>
                    <a:r>
                      <a:rPr lang="ru-RU"/>
                      <a:t>ВБС </a:t>
                    </a:r>
                    <a:fld id="{95471847-7D33-4CC4-A723-C08D06E395C9}" type="VALUE">
                      <a:rPr lang="en-US"/>
                      <a:pPr/>
                      <a:t>[ЗНАЧЕНИЕ]</a:t>
                    </a:fld>
                    <a:endParaRPr lang="ru-RU"/>
                  </a:p>
                </c:rich>
              </c:tx>
              <c:showVal val="1"/>
              <c:extLst>
                <c:ext xmlns:c15="http://schemas.microsoft.com/office/drawing/2012/chart" uri="{CE6537A1-D6FC-4f65-9D91-7224C49458BB}">
                  <c15:layout/>
                  <c15:dlblFieldTable/>
                  <c15:showDataLabelsRange val="0"/>
                </c:ext>
              </c:extLst>
            </c:dLbl>
            <c:dLbl>
              <c:idx val="8"/>
              <c:delete val="1"/>
              <c:extLst>
                <c:ext xmlns:c15="http://schemas.microsoft.com/office/drawing/2012/chart" uri="{CE6537A1-D6FC-4f65-9D91-7224C49458BB}"/>
              </c:extLst>
            </c:dLbl>
            <c:dLbl>
              <c:idx val="9"/>
              <c:layout>
                <c:manualLayout>
                  <c:x val="-3.1399317406143511E-2"/>
                  <c:y val="1.1490290704354819E-2"/>
                </c:manualLayout>
              </c:layout>
              <c:tx>
                <c:rich>
                  <a:bodyPr/>
                  <a:lstStyle/>
                  <a:p>
                    <a:r>
                      <a:rPr lang="ru-RU"/>
                      <a:t>ВБС </a:t>
                    </a:r>
                    <a:fld id="{7C5A8811-6D07-46BE-A5BB-42E706BFAA99}" type="VALUE">
                      <a:rPr lang="en-US"/>
                      <a:pPr/>
                      <a:t>[ЗНАЧЕНИЕ]</a:t>
                    </a:fld>
                    <a:endParaRPr lang="ru-RU"/>
                  </a:p>
                </c:rich>
              </c:tx>
              <c:showVal val="1"/>
              <c:extLst>
                <c:ext xmlns:c15="http://schemas.microsoft.com/office/drawing/2012/chart" uri="{CE6537A1-D6FC-4f65-9D91-7224C49458BB}">
                  <c15:layout/>
                  <c15:dlblFieldTable/>
                  <c15:showDataLabelsRange val="0"/>
                </c:ext>
              </c:extLst>
            </c:dLbl>
            <c:spPr>
              <a:noFill/>
              <a:ln>
                <a:noFill/>
              </a:ln>
              <a:effectLst/>
            </c:spPr>
            <c:showVal val="1"/>
            <c:extLst>
              <c:ext xmlns:c15="http://schemas.microsoft.com/office/drawing/2012/chart" uri="{CE6537A1-D6FC-4f65-9D91-7224C49458BB}">
                <c15:showLeaderLines val="1"/>
              </c:ext>
            </c:extLst>
          </c:dLbls>
          <c:cat>
            <c:strRef>
              <c:f>Лист1!$A$2:$A$11</c:f>
              <c:strCache>
                <c:ptCount val="10"/>
                <c:pt idx="0">
                  <c:v>Развитие физической культуры и спорта</c:v>
                </c:pt>
                <c:pt idx="1">
                  <c:v>Развитие культуры и сохранение культурного наследия</c:v>
                </c:pt>
                <c:pt idx="2">
                  <c:v>Обеспечение общественного порядка и безопасности населения</c:v>
                </c:pt>
                <c:pt idx="3">
                  <c:v>Управление развитием регионального рынка труда</c:v>
                </c:pt>
                <c:pt idx="4">
                  <c:v>Государственное управление и гражданское общество</c:v>
                </c:pt>
                <c:pt idx="5">
                  <c:v>Развитие экономического потенциала</c:v>
                </c:pt>
                <c:pt idx="6">
                  <c:v>Развитие рыбного и сельского хозяйства</c:v>
                </c:pt>
                <c:pt idx="7">
                  <c:v>Охрана окружающей среды</c:v>
                </c:pt>
                <c:pt idx="8">
                  <c:v>Формирование современной городской среды Мурманской области</c:v>
                </c:pt>
                <c:pt idx="9">
                  <c:v>Информационное общество</c:v>
                </c:pt>
              </c:strCache>
            </c:strRef>
          </c:cat>
          <c:val>
            <c:numRef>
              <c:f>Лист1!$E$2:$E$11</c:f>
              <c:numCache>
                <c:formatCode>#,##0.0</c:formatCode>
                <c:ptCount val="10"/>
                <c:pt idx="0">
                  <c:v>7.7</c:v>
                </c:pt>
                <c:pt idx="1">
                  <c:v>0</c:v>
                </c:pt>
                <c:pt idx="3">
                  <c:v>18.5</c:v>
                </c:pt>
                <c:pt idx="4">
                  <c:v>23.4</c:v>
                </c:pt>
                <c:pt idx="5">
                  <c:v>12.796900000000001</c:v>
                </c:pt>
                <c:pt idx="6">
                  <c:v>167.93449999999999</c:v>
                </c:pt>
                <c:pt idx="7">
                  <c:v>884.8253999999996</c:v>
                </c:pt>
                <c:pt idx="8">
                  <c:v>15.5</c:v>
                </c:pt>
                <c:pt idx="9">
                  <c:v>11.636200000000001</c:v>
                </c:pt>
              </c:numCache>
            </c:numRef>
          </c:val>
        </c:ser>
        <c:dLbls>
          <c:showVal val="1"/>
        </c:dLbls>
        <c:gapWidth val="55"/>
        <c:overlap val="100"/>
        <c:axId val="129501824"/>
        <c:axId val="131109248"/>
      </c:barChart>
      <c:lineChart>
        <c:grouping val="standard"/>
        <c:ser>
          <c:idx val="4"/>
          <c:order val="4"/>
          <c:tx>
            <c:strRef>
              <c:f>Лист1!$F$1</c:f>
              <c:strCache>
                <c:ptCount val="1"/>
                <c:pt idx="0">
                  <c:v>План</c:v>
                </c:pt>
              </c:strCache>
            </c:strRef>
          </c:tx>
          <c:marker>
            <c:symbol val="none"/>
          </c:marker>
          <c:dLbls>
            <c:delete val="1"/>
          </c:dLbls>
          <c:cat>
            <c:strRef>
              <c:f>Лист1!$A$2:$A$11</c:f>
              <c:strCache>
                <c:ptCount val="10"/>
                <c:pt idx="0">
                  <c:v>Развитие физической культуры и спорта</c:v>
                </c:pt>
                <c:pt idx="1">
                  <c:v>Развитие культуры и сохранение культурного наследия</c:v>
                </c:pt>
                <c:pt idx="2">
                  <c:v>Обеспечение общественного порядка и безопасности населения</c:v>
                </c:pt>
                <c:pt idx="3">
                  <c:v>Управление развитием регионального рынка труда</c:v>
                </c:pt>
                <c:pt idx="4">
                  <c:v>Государственное управление и гражданское общество</c:v>
                </c:pt>
                <c:pt idx="5">
                  <c:v>Развитие экономического потенциала</c:v>
                </c:pt>
                <c:pt idx="6">
                  <c:v>Развитие рыбного и сельского хозяйства</c:v>
                </c:pt>
                <c:pt idx="7">
                  <c:v>Охрана окружающей среды</c:v>
                </c:pt>
                <c:pt idx="8">
                  <c:v>Формирование современной городской среды Мурманской области</c:v>
                </c:pt>
                <c:pt idx="9">
                  <c:v>Информационное общество</c:v>
                </c:pt>
              </c:strCache>
            </c:strRef>
          </c:cat>
          <c:val>
            <c:numRef>
              <c:f>Лист1!$F$2:$F$11</c:f>
              <c:numCache>
                <c:formatCode>#,##0.0</c:formatCode>
                <c:ptCount val="10"/>
                <c:pt idx="0">
                  <c:v>2195.0772918015814</c:v>
                </c:pt>
                <c:pt idx="1">
                  <c:v>2060.2820326199999</c:v>
                </c:pt>
                <c:pt idx="2">
                  <c:v>1812.5702999999999</c:v>
                </c:pt>
                <c:pt idx="3">
                  <c:v>1466.7267000000006</c:v>
                </c:pt>
                <c:pt idx="4">
                  <c:v>1379.7569000000001</c:v>
                </c:pt>
                <c:pt idx="5">
                  <c:v>1014.9868569700003</c:v>
                </c:pt>
                <c:pt idx="6">
                  <c:v>924.17456082000001</c:v>
                </c:pt>
                <c:pt idx="7">
                  <c:v>1560.5024746499998</c:v>
                </c:pt>
                <c:pt idx="8">
                  <c:v>816.68550000000005</c:v>
                </c:pt>
                <c:pt idx="9">
                  <c:v>618.85799999999938</c:v>
                </c:pt>
              </c:numCache>
            </c:numRef>
          </c:val>
        </c:ser>
        <c:ser>
          <c:idx val="5"/>
          <c:order val="5"/>
          <c:tx>
            <c:strRef>
              <c:f>Лист1!$G$1</c:f>
              <c:strCache>
                <c:ptCount val="1"/>
                <c:pt idx="0">
                  <c:v>Всего расходов</c:v>
                </c:pt>
              </c:strCache>
            </c:strRef>
          </c:tx>
          <c:spPr>
            <a:ln>
              <a:solidFill>
                <a:srgbClr val="FF0000"/>
              </a:solidFill>
            </a:ln>
          </c:spPr>
          <c:marker>
            <c:spPr>
              <a:solidFill>
                <a:srgbClr val="FF0000"/>
              </a:solidFill>
            </c:spPr>
          </c:marker>
          <c:dLbls>
            <c:dLbl>
              <c:idx val="0"/>
              <c:layout>
                <c:manualLayout>
                  <c:x val="1.0940268717120043E-2"/>
                  <c:y val="-1.8402776645717475E-2"/>
                </c:manualLayout>
              </c:layout>
              <c:dLblPos val="r"/>
              <c:showVal val="1"/>
              <c:extLst>
                <c:ext xmlns:c15="http://schemas.microsoft.com/office/drawing/2012/chart" uri="{CE6537A1-D6FC-4f65-9D91-7224C49458BB}">
                  <c15:layout/>
                </c:ext>
              </c:extLst>
            </c:dLbl>
            <c:dLbl>
              <c:idx val="1"/>
              <c:layout>
                <c:manualLayout>
                  <c:x val="-9.5563139931740607E-3"/>
                  <c:y val="-2.5340524264870198E-2"/>
                </c:manualLayout>
              </c:layout>
              <c:spPr>
                <a:noFill/>
              </c:spPr>
              <c:txPr>
                <a:bodyPr/>
                <a:lstStyle/>
                <a:p>
                  <a:pPr>
                    <a:defRPr b="1">
                      <a:solidFill>
                        <a:srgbClr val="FF0000"/>
                      </a:solidFill>
                    </a:defRPr>
                  </a:pPr>
                  <a:endParaRPr lang="ru-RU"/>
                </a:p>
              </c:txPr>
              <c:dLblPos val="r"/>
              <c:showVal val="1"/>
              <c:extLst>
                <c:ext xmlns:c15="http://schemas.microsoft.com/office/drawing/2012/chart" uri="{CE6537A1-D6FC-4f65-9D91-7224C49458BB}">
                  <c15:layout/>
                </c:ext>
              </c:extLst>
            </c:dLbl>
            <c:dLbl>
              <c:idx val="2"/>
              <c:layout>
                <c:manualLayout>
                  <c:x val="-8.2075730294805301E-3"/>
                  <c:y val="-1.6148291701386343E-2"/>
                </c:manualLayout>
              </c:layout>
              <c:dLblPos val="r"/>
              <c:showVal val="1"/>
              <c:extLst>
                <c:ext xmlns:c15="http://schemas.microsoft.com/office/drawing/2012/chart" uri="{CE6537A1-D6FC-4f65-9D91-7224C49458BB}">
                  <c15:layout/>
                </c:ext>
              </c:extLst>
            </c:dLbl>
            <c:dLbl>
              <c:idx val="3"/>
              <c:layout>
                <c:manualLayout>
                  <c:x val="-8.2099379215822797E-3"/>
                  <c:y val="-2.9938811940131139E-2"/>
                </c:manualLayout>
              </c:layout>
              <c:dLblPos val="r"/>
              <c:showVal val="1"/>
              <c:extLst>
                <c:ext xmlns:c15="http://schemas.microsoft.com/office/drawing/2012/chart" uri="{CE6537A1-D6FC-4f65-9D91-7224C49458BB}">
                  <c15:layout/>
                </c:ext>
              </c:extLst>
            </c:dLbl>
            <c:dLbl>
              <c:idx val="4"/>
              <c:layout>
                <c:manualLayout>
                  <c:x val="1.3651877133105814E-2"/>
                  <c:y val="-1.1497166783831442E-2"/>
                </c:manualLayout>
              </c:layout>
              <c:dLblPos val="r"/>
              <c:showVal val="1"/>
              <c:extLst>
                <c:ext xmlns:c15="http://schemas.microsoft.com/office/drawing/2012/chart" uri="{CE6537A1-D6FC-4f65-9D91-7224C49458BB}">
                  <c15:layout/>
                </c:ext>
              </c:extLst>
            </c:dLbl>
            <c:dLbl>
              <c:idx val="5"/>
              <c:layout>
                <c:manualLayout>
                  <c:x val="0"/>
                  <c:y val="-9.201388322858604E-3"/>
                </c:manualLayout>
              </c:layout>
              <c:dLblPos val="r"/>
              <c:showVal val="1"/>
              <c:extLst>
                <c:ext xmlns:c15="http://schemas.microsoft.com/office/drawing/2012/chart" uri="{CE6537A1-D6FC-4f65-9D91-7224C49458BB}">
                  <c15:layout/>
                </c:ext>
              </c:extLst>
            </c:dLbl>
            <c:dLbl>
              <c:idx val="6"/>
              <c:layout>
                <c:manualLayout>
                  <c:x val="-8.1911262798634848E-3"/>
                  <c:y val="-3.9080740553759666E-2"/>
                </c:manualLayout>
              </c:layout>
              <c:dLblPos val="r"/>
              <c:showVal val="1"/>
              <c:extLst>
                <c:ext xmlns:c15="http://schemas.microsoft.com/office/drawing/2012/chart" uri="{CE6537A1-D6FC-4f65-9D91-7224C49458BB}">
                  <c15:layout/>
                </c:ext>
              </c:extLst>
            </c:dLbl>
            <c:dLbl>
              <c:idx val="7"/>
              <c:layout>
                <c:manualLayout>
                  <c:x val="2.7303754266211604E-3"/>
                  <c:y val="-2.2989809831165112E-2"/>
                </c:manualLayout>
              </c:layout>
              <c:dLblPos val="r"/>
              <c:showVal val="1"/>
              <c:extLst>
                <c:ext xmlns:c15="http://schemas.microsoft.com/office/drawing/2012/chart" uri="{CE6537A1-D6FC-4f65-9D91-7224C49458BB}">
                  <c15:layout/>
                </c:ext>
              </c:extLst>
            </c:dLbl>
            <c:dLbl>
              <c:idx val="8"/>
              <c:layout>
                <c:manualLayout>
                  <c:x val="-5.4654806374460126E-3"/>
                  <c:y val="-2.9938811940131042E-2"/>
                </c:manualLayout>
              </c:layout>
              <c:dLblPos val="r"/>
              <c:showVal val="1"/>
              <c:extLst>
                <c:ext xmlns:c15="http://schemas.microsoft.com/office/drawing/2012/chart" uri="{CE6537A1-D6FC-4f65-9D91-7224C49458BB}">
                  <c15:layout/>
                </c:ext>
              </c:extLst>
            </c:dLbl>
            <c:dLbl>
              <c:idx val="9"/>
              <c:layout>
                <c:manualLayout>
                  <c:x val="6.8376679481999833E-3"/>
                  <c:y val="-2.7604164968575852E-2"/>
                </c:manualLayout>
              </c:layout>
              <c:dLblPos val="r"/>
              <c:showVal val="1"/>
              <c:extLst>
                <c:ext xmlns:c15="http://schemas.microsoft.com/office/drawing/2012/chart" uri="{CE6537A1-D6FC-4f65-9D91-7224C49458BB}">
                  <c15:layout/>
                </c:ext>
              </c:extLst>
            </c:dLbl>
            <c:dLbl>
              <c:idx val="10"/>
              <c:layout>
                <c:manualLayout>
                  <c:x val="0"/>
                  <c:y val="-9.2013883228584999E-3"/>
                </c:manualLayout>
              </c:layout>
              <c:dLblPos val="r"/>
              <c:showVal val="1"/>
              <c:extLst>
                <c:ext xmlns:c15="http://schemas.microsoft.com/office/drawing/2012/chart" uri="{CE6537A1-D6FC-4f65-9D91-7224C49458BB}"/>
              </c:extLst>
            </c:dLbl>
            <c:spPr>
              <a:noFill/>
              <a:ln>
                <a:noFill/>
              </a:ln>
              <a:effectLst/>
            </c:spPr>
            <c:txPr>
              <a:bodyPr/>
              <a:lstStyle/>
              <a:p>
                <a:pPr>
                  <a:defRPr b="1">
                    <a:solidFill>
                      <a:srgbClr val="FF0000"/>
                    </a:solidFill>
                  </a:defRPr>
                </a:pPr>
                <a:endParaRPr lang="ru-RU"/>
              </a:p>
            </c:txPr>
            <c:showVal val="1"/>
            <c:extLst>
              <c:ext xmlns:c15="http://schemas.microsoft.com/office/drawing/2012/chart" uri="{CE6537A1-D6FC-4f65-9D91-7224C49458BB}">
                <c15:showLeaderLines val="0"/>
              </c:ext>
            </c:extLst>
          </c:dLbls>
          <c:cat>
            <c:strRef>
              <c:f>Лист1!$A$2:$A$11</c:f>
              <c:strCache>
                <c:ptCount val="10"/>
                <c:pt idx="0">
                  <c:v>Развитие физической культуры и спорта</c:v>
                </c:pt>
                <c:pt idx="1">
                  <c:v>Развитие культуры и сохранение культурного наследия</c:v>
                </c:pt>
                <c:pt idx="2">
                  <c:v>Обеспечение общественного порядка и безопасности населения</c:v>
                </c:pt>
                <c:pt idx="3">
                  <c:v>Управление развитием регионального рынка труда</c:v>
                </c:pt>
                <c:pt idx="4">
                  <c:v>Государственное управление и гражданское общество</c:v>
                </c:pt>
                <c:pt idx="5">
                  <c:v>Развитие экономического потенциала</c:v>
                </c:pt>
                <c:pt idx="6">
                  <c:v>Развитие рыбного и сельского хозяйства</c:v>
                </c:pt>
                <c:pt idx="7">
                  <c:v>Охрана окружающей среды</c:v>
                </c:pt>
                <c:pt idx="8">
                  <c:v>Формирование современной городской среды Мурманской области</c:v>
                </c:pt>
                <c:pt idx="9">
                  <c:v>Информационное общество</c:v>
                </c:pt>
              </c:strCache>
            </c:strRef>
          </c:cat>
          <c:val>
            <c:numRef>
              <c:f>Лист1!$G$2:$G$11</c:f>
              <c:numCache>
                <c:formatCode>#,##0.0</c:formatCode>
                <c:ptCount val="10"/>
                <c:pt idx="0">
                  <c:v>1820.3162218315799</c:v>
                </c:pt>
                <c:pt idx="1">
                  <c:v>1795.2245333599999</c:v>
                </c:pt>
                <c:pt idx="2">
                  <c:v>1682.3519999999999</c:v>
                </c:pt>
                <c:pt idx="3">
                  <c:v>1496.6653995499998</c:v>
                </c:pt>
                <c:pt idx="4">
                  <c:v>1324.8092225699993</c:v>
                </c:pt>
                <c:pt idx="5">
                  <c:v>925.57859446000032</c:v>
                </c:pt>
                <c:pt idx="6">
                  <c:v>911.4494471199996</c:v>
                </c:pt>
                <c:pt idx="7">
                  <c:v>806.8778280299997</c:v>
                </c:pt>
                <c:pt idx="8">
                  <c:v>778.09254899999996</c:v>
                </c:pt>
                <c:pt idx="9">
                  <c:v>608.81876488999967</c:v>
                </c:pt>
              </c:numCache>
            </c:numRef>
          </c:val>
        </c:ser>
        <c:dLbls>
          <c:showVal val="1"/>
        </c:dLbls>
        <c:marker val="1"/>
        <c:axId val="129501824"/>
        <c:axId val="131109248"/>
      </c:lineChart>
      <c:scatterChart>
        <c:scatterStyle val="lineMarker"/>
        <c:ser>
          <c:idx val="6"/>
          <c:order val="6"/>
          <c:tx>
            <c:strRef>
              <c:f>Лист1!$H$1</c:f>
              <c:strCache>
                <c:ptCount val="1"/>
                <c:pt idx="0">
                  <c:v>Степень освоения средств, %</c:v>
                </c:pt>
              </c:strCache>
            </c:strRef>
          </c:tx>
          <c:spPr>
            <a:ln w="28559">
              <a:noFill/>
            </a:ln>
          </c:spPr>
          <c:marker>
            <c:symbol val="diamond"/>
            <c:size val="6"/>
            <c:spPr>
              <a:solidFill>
                <a:srgbClr val="0070C0"/>
              </a:solidFill>
            </c:spPr>
          </c:marker>
          <c:dLbls>
            <c:dLbl>
              <c:idx val="3"/>
              <c:layout/>
              <c:tx>
                <c:rich>
                  <a:bodyPr/>
                  <a:lstStyle/>
                  <a:p>
                    <a:fld id="{7290D451-F345-469F-A882-7DD34B08EDC5}" type="YVALUE">
                      <a:rPr lang="en-US"/>
                      <a:pPr/>
                      <a:t>[ЗНАЧЕНИЕ Y]</a:t>
                    </a:fld>
                    <a:r>
                      <a:rPr lang="en-US"/>
                      <a:t>*</a:t>
                    </a:r>
                  </a:p>
                </c:rich>
              </c:tx>
              <c:showVal val="1"/>
              <c:extLst>
                <c:ext xmlns:c15="http://schemas.microsoft.com/office/drawing/2012/chart" uri="{CE6537A1-D6FC-4f65-9D91-7224C49458BB}">
                  <c15:layout/>
                  <c15:dlblFieldTable/>
                  <c15:showDataLabelsRange val="0"/>
                </c:ext>
              </c:extLst>
            </c:dLbl>
            <c:dLbl>
              <c:idx val="7"/>
              <c:layout>
                <c:manualLayout>
                  <c:x val="-2.7303754266211604E-3"/>
                  <c:y val="6.8941744226128114E-3"/>
                </c:manualLayout>
              </c:layout>
              <c:showVal val="1"/>
              <c:extLst>
                <c:ext xmlns:c15="http://schemas.microsoft.com/office/drawing/2012/chart" uri="{CE6537A1-D6FC-4f65-9D91-7224C49458BB}">
                  <c15:layout/>
                </c:ext>
              </c:extLst>
            </c:dLbl>
            <c:spPr>
              <a:noFill/>
              <a:ln>
                <a:noFill/>
              </a:ln>
              <a:effectLst/>
            </c:spPr>
            <c:showVal val="1"/>
            <c:extLst>
              <c:ext xmlns:c15="http://schemas.microsoft.com/office/drawing/2012/chart" uri="{CE6537A1-D6FC-4f65-9D91-7224C49458BB}">
                <c15:layout/>
                <c15:showLeaderLines val="1"/>
              </c:ext>
            </c:extLst>
          </c:dLbls>
          <c:xVal>
            <c:strRef>
              <c:f>Лист1!$A$2:$A$11</c:f>
              <c:strCache>
                <c:ptCount val="10"/>
                <c:pt idx="0">
                  <c:v>Развитие физической культуры и спорта</c:v>
                </c:pt>
                <c:pt idx="1">
                  <c:v>Развитие культуры и сохранение культурного наследия</c:v>
                </c:pt>
                <c:pt idx="2">
                  <c:v>Обеспечение общественного порядка и безопасности населения</c:v>
                </c:pt>
                <c:pt idx="3">
                  <c:v>Управление развитием регионального рынка труда</c:v>
                </c:pt>
                <c:pt idx="4">
                  <c:v>Государственное управление и гражданское общество</c:v>
                </c:pt>
                <c:pt idx="5">
                  <c:v>Развитие экономического потенциала</c:v>
                </c:pt>
                <c:pt idx="6">
                  <c:v>Развитие рыбного и сельского хозяйства</c:v>
                </c:pt>
                <c:pt idx="7">
                  <c:v>Охрана окружающей среды</c:v>
                </c:pt>
                <c:pt idx="8">
                  <c:v>Формирование современной городской среды Мурманской области</c:v>
                </c:pt>
                <c:pt idx="9">
                  <c:v>Информационное общество</c:v>
                </c:pt>
              </c:strCache>
            </c:strRef>
          </c:xVal>
          <c:yVal>
            <c:numRef>
              <c:f>Лист1!$H$2:$H$11</c:f>
              <c:numCache>
                <c:formatCode>0.0%</c:formatCode>
                <c:ptCount val="10"/>
                <c:pt idx="0">
                  <c:v>0.82900000000000029</c:v>
                </c:pt>
                <c:pt idx="1">
                  <c:v>0.87100000000000033</c:v>
                </c:pt>
                <c:pt idx="2">
                  <c:v>0.92800000000000005</c:v>
                </c:pt>
                <c:pt idx="3">
                  <c:v>1.02</c:v>
                </c:pt>
                <c:pt idx="4">
                  <c:v>0.9600000000000003</c:v>
                </c:pt>
                <c:pt idx="5">
                  <c:v>0.91200000000000003</c:v>
                </c:pt>
                <c:pt idx="6">
                  <c:v>0.98599999999999999</c:v>
                </c:pt>
                <c:pt idx="7">
                  <c:v>0.51700000000000002</c:v>
                </c:pt>
                <c:pt idx="8">
                  <c:v>0.95300000000000029</c:v>
                </c:pt>
                <c:pt idx="9">
                  <c:v>0.98399999999999999</c:v>
                </c:pt>
              </c:numCache>
            </c:numRef>
          </c:yVal>
        </c:ser>
        <c:dLbls>
          <c:showVal val="1"/>
        </c:dLbls>
        <c:axId val="134693632"/>
        <c:axId val="134695168"/>
      </c:scatterChart>
      <c:catAx>
        <c:axId val="129501824"/>
        <c:scaling>
          <c:orientation val="minMax"/>
        </c:scaling>
        <c:axPos val="b"/>
        <c:numFmt formatCode="General" sourceLinked="1"/>
        <c:majorTickMark val="none"/>
        <c:tickLblPos val="nextTo"/>
        <c:txPr>
          <a:bodyPr/>
          <a:lstStyle/>
          <a:p>
            <a:pPr>
              <a:defRPr b="1" baseline="30000">
                <a:latin typeface="Times New Roman" pitchFamily="18" charset="0"/>
                <a:cs typeface="Times New Roman" pitchFamily="18" charset="0"/>
              </a:defRPr>
            </a:pPr>
            <a:endParaRPr lang="ru-RU"/>
          </a:p>
        </c:txPr>
        <c:crossAx val="131109248"/>
        <c:crosses val="autoZero"/>
        <c:auto val="1"/>
        <c:lblAlgn val="ctr"/>
        <c:lblOffset val="100"/>
      </c:catAx>
      <c:valAx>
        <c:axId val="131109248"/>
        <c:scaling>
          <c:orientation val="minMax"/>
          <c:max val="3000"/>
          <c:min val="0"/>
        </c:scaling>
        <c:axPos val="l"/>
        <c:title>
          <c:tx>
            <c:rich>
              <a:bodyPr/>
              <a:lstStyle/>
              <a:p>
                <a:pPr>
                  <a:defRPr sz="999" b="1" i="0" u="none" strike="noStrike" baseline="0">
                    <a:solidFill>
                      <a:srgbClr val="000000"/>
                    </a:solidFill>
                    <a:latin typeface="Times New Roman"/>
                    <a:ea typeface="Times New Roman"/>
                    <a:cs typeface="Times New Roman"/>
                  </a:defRPr>
                </a:pPr>
                <a:r>
                  <a:rPr lang="ru-RU"/>
                  <a:t>Млн.рублей</a:t>
                </a:r>
              </a:p>
            </c:rich>
          </c:tx>
          <c:layout>
            <c:manualLayout>
              <c:xMode val="edge"/>
              <c:yMode val="edge"/>
              <c:x val="4.8730429174168921E-2"/>
              <c:y val="0.23783944985335828"/>
            </c:manualLayout>
          </c:layout>
        </c:title>
        <c:numFmt formatCode="#,##0.0" sourceLinked="1"/>
        <c:majorTickMark val="none"/>
        <c:tickLblPos val="none"/>
        <c:crossAx val="129501824"/>
        <c:crosses val="autoZero"/>
        <c:crossBetween val="between"/>
        <c:majorUnit val="400"/>
      </c:valAx>
      <c:valAx>
        <c:axId val="134693632"/>
        <c:scaling>
          <c:orientation val="minMax"/>
        </c:scaling>
        <c:delete val="1"/>
        <c:axPos val="b"/>
        <c:tickLblPos val="nextTo"/>
        <c:crossAx val="134695168"/>
        <c:crosses val="autoZero"/>
        <c:crossBetween val="midCat"/>
      </c:valAx>
      <c:valAx>
        <c:axId val="134695168"/>
        <c:scaling>
          <c:orientation val="minMax"/>
        </c:scaling>
        <c:axPos val="r"/>
        <c:numFmt formatCode="0.0%" sourceLinked="1"/>
        <c:majorTickMark val="none"/>
        <c:tickLblPos val="none"/>
        <c:txPr>
          <a:bodyPr/>
          <a:lstStyle/>
          <a:p>
            <a:pPr>
              <a:defRPr>
                <a:solidFill>
                  <a:sysClr val="windowText" lastClr="000000"/>
                </a:solidFill>
              </a:defRPr>
            </a:pPr>
            <a:endParaRPr lang="ru-RU"/>
          </a:p>
        </c:txPr>
        <c:crossAx val="134693632"/>
        <c:crosses val="max"/>
        <c:crossBetween val="midCat"/>
      </c:valAx>
    </c:plotArea>
    <c:legend>
      <c:legendPos val="b"/>
      <c:layout>
        <c:manualLayout>
          <c:xMode val="edge"/>
          <c:yMode val="edge"/>
          <c:x val="1.7766173010757245E-2"/>
          <c:y val="0.84036469125569835"/>
          <c:w val="0.84857857016577665"/>
          <c:h val="3.3979094718423412E-2"/>
        </c:manualLayout>
      </c:layout>
      <c:txPr>
        <a:bodyPr/>
        <a:lstStyle/>
        <a:p>
          <a:pPr>
            <a:defRPr sz="800">
              <a:latin typeface="Times New Roman" pitchFamily="18" charset="0"/>
              <a:cs typeface="Times New Roman" pitchFamily="18" charset="0"/>
            </a:defRPr>
          </a:pPr>
          <a:endParaRPr lang="ru-RU"/>
        </a:p>
      </c:txPr>
    </c:legend>
    <c:plotVisOnly val="1"/>
    <c:dispBlanksAs val="zero"/>
  </c:chart>
  <c:externalData r:id="rId2"/>
</c:chartSpace>
</file>

<file path=word/drawings/drawing1.xml><?xml version="1.0" encoding="utf-8"?>
<c:userShapes xmlns:c="http://schemas.openxmlformats.org/drawingml/2006/chart">
  <cdr:relSizeAnchor xmlns:cdr="http://schemas.openxmlformats.org/drawingml/2006/chartDrawing">
    <cdr:from>
      <cdr:x>0.15855</cdr:x>
      <cdr:y>0.03155</cdr:y>
    </cdr:from>
    <cdr:to>
      <cdr:x>0.9235</cdr:x>
      <cdr:y>0.27445</cdr:y>
    </cdr:to>
    <cdr:sp macro="" textlink="">
      <cdr:nvSpPr>
        <cdr:cNvPr id="2" name="TextBox 1"/>
        <cdr:cNvSpPr txBox="1"/>
      </cdr:nvSpPr>
      <cdr:spPr>
        <a:xfrm xmlns:a="http://schemas.openxmlformats.org/drawingml/2006/main">
          <a:off x="987137" y="86591"/>
          <a:ext cx="4762500" cy="66675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algn="ctr"/>
          <a:r>
            <a:rPr lang="ru-RU" sz="1600" b="1">
              <a:latin typeface="Times New Roman" pitchFamily="18" charset="0"/>
              <a:cs typeface="Times New Roman" pitchFamily="18" charset="0"/>
            </a:rPr>
            <a:t>Динамика</a:t>
          </a:r>
          <a:r>
            <a:rPr lang="ru-RU" sz="1600" b="1" baseline="0">
              <a:latin typeface="Times New Roman" pitchFamily="18" charset="0"/>
              <a:cs typeface="Times New Roman" pitchFamily="18" charset="0"/>
            </a:rPr>
            <a:t> значений показателей по сравнению с 2019 годом (К2)</a:t>
          </a:r>
          <a:endParaRPr lang="ru-RU" sz="1600" b="1">
            <a:latin typeface="Times New Roman" pitchFamily="18" charset="0"/>
            <a:cs typeface="Times New Roman" pitchFamily="18"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0.37308</cdr:x>
      <cdr:y>0.61384</cdr:y>
    </cdr:from>
    <cdr:to>
      <cdr:x>0.4552</cdr:x>
      <cdr:y>0.66265</cdr:y>
    </cdr:to>
    <cdr:sp macro="" textlink="">
      <cdr:nvSpPr>
        <cdr:cNvPr id="3" name="Надпись 2"/>
        <cdr:cNvSpPr txBox="1">
          <a:spLocks xmlns:a="http://schemas.openxmlformats.org/drawingml/2006/main" noChangeArrowheads="1"/>
        </cdr:cNvSpPr>
      </cdr:nvSpPr>
      <cdr:spPr bwMode="auto">
        <a:xfrm xmlns:a="http://schemas.openxmlformats.org/drawingml/2006/main">
          <a:off x="3173095" y="3362325"/>
          <a:ext cx="698500" cy="267335"/>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0.15853</cdr:x>
      <cdr:y>0.35609</cdr:y>
    </cdr:from>
    <cdr:to>
      <cdr:x>0.25273</cdr:x>
      <cdr:y>0.39375</cdr:y>
    </cdr:to>
    <cdr:sp macro="" textlink="">
      <cdr:nvSpPr>
        <cdr:cNvPr id="6" name="Прямоугольник 5"/>
        <cdr:cNvSpPr/>
      </cdr:nvSpPr>
      <cdr:spPr>
        <a:xfrm xmlns:a="http://schemas.openxmlformats.org/drawingml/2006/main">
          <a:off x="1351229" y="1783400"/>
          <a:ext cx="802924" cy="188610"/>
        </a:xfrm>
        <a:prstGeom xmlns:a="http://schemas.openxmlformats.org/drawingml/2006/main" prst="rect">
          <a:avLst/>
        </a:prstGeom>
        <a:noFill xmlns:a="http://schemas.openxmlformats.org/drawingml/2006/main"/>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p xmlns:a="http://schemas.openxmlformats.org/drawingml/2006/main">
          <a:r>
            <a:rPr lang="ru-RU" sz="1000">
              <a:solidFill>
                <a:sysClr val="windowText" lastClr="000000"/>
              </a:solidFill>
            </a:rPr>
            <a:t>МБ  199,2</a:t>
          </a:r>
        </a:p>
      </cdr:txBody>
    </cdr:sp>
  </cdr:relSizeAnchor>
  <cdr:relSizeAnchor xmlns:cdr="http://schemas.openxmlformats.org/drawingml/2006/chartDrawing">
    <cdr:from>
      <cdr:x>0.66601</cdr:x>
      <cdr:y>0.4974</cdr:y>
    </cdr:from>
    <cdr:to>
      <cdr:x>0.7602</cdr:x>
      <cdr:y>0.53506</cdr:y>
    </cdr:to>
    <cdr:sp macro="" textlink="">
      <cdr:nvSpPr>
        <cdr:cNvPr id="7" name="Прямоугольник 6"/>
        <cdr:cNvSpPr/>
      </cdr:nvSpPr>
      <cdr:spPr>
        <a:xfrm xmlns:a="http://schemas.openxmlformats.org/drawingml/2006/main">
          <a:off x="5676782" y="2491086"/>
          <a:ext cx="802838" cy="188611"/>
        </a:xfrm>
        <a:prstGeom xmlns:a="http://schemas.openxmlformats.org/drawingml/2006/main" prst="rect">
          <a:avLst/>
        </a:prstGeom>
        <a:noFill xmlns:a="http://schemas.openxmlformats.org/drawingml/2006/main"/>
        <a:ln xmlns:a="http://schemas.openxmlformats.org/drawingml/2006/main" w="25400" cap="flat" cmpd="sng" algn="ctr">
          <a:noFill/>
          <a:prstDash val="solid"/>
        </a:ln>
        <a:effectLst xmlns:a="http://schemas.openxmlformats.org/drawingml/2006/mai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ysClr val="window" lastClr="FFFFFF"/>
              </a:solidFill>
              <a:latin typeface="Calibri"/>
            </a:defRPr>
          </a:lvl1pPr>
          <a:lvl2pPr marL="457200" indent="0">
            <a:defRPr sz="1100">
              <a:solidFill>
                <a:sysClr val="window" lastClr="FFFFFF"/>
              </a:solidFill>
              <a:latin typeface="Calibri"/>
            </a:defRPr>
          </a:lvl2pPr>
          <a:lvl3pPr marL="914400" indent="0">
            <a:defRPr sz="1100">
              <a:solidFill>
                <a:sysClr val="window" lastClr="FFFFFF"/>
              </a:solidFill>
              <a:latin typeface="Calibri"/>
            </a:defRPr>
          </a:lvl3pPr>
          <a:lvl4pPr marL="1371600" indent="0">
            <a:defRPr sz="1100">
              <a:solidFill>
                <a:sysClr val="window" lastClr="FFFFFF"/>
              </a:solidFill>
              <a:latin typeface="Calibri"/>
            </a:defRPr>
          </a:lvl4pPr>
          <a:lvl5pPr marL="1828800" indent="0">
            <a:defRPr sz="1100">
              <a:solidFill>
                <a:sysClr val="window" lastClr="FFFFFF"/>
              </a:solidFill>
              <a:latin typeface="Calibri"/>
            </a:defRPr>
          </a:lvl5pPr>
          <a:lvl6pPr marL="2286000" indent="0">
            <a:defRPr sz="1100">
              <a:solidFill>
                <a:sysClr val="window" lastClr="FFFFFF"/>
              </a:solidFill>
              <a:latin typeface="Calibri"/>
            </a:defRPr>
          </a:lvl6pPr>
          <a:lvl7pPr marL="2743200" indent="0">
            <a:defRPr sz="1100">
              <a:solidFill>
                <a:sysClr val="window" lastClr="FFFFFF"/>
              </a:solidFill>
              <a:latin typeface="Calibri"/>
            </a:defRPr>
          </a:lvl7pPr>
          <a:lvl8pPr marL="3200400" indent="0">
            <a:defRPr sz="1100">
              <a:solidFill>
                <a:sysClr val="window" lastClr="FFFFFF"/>
              </a:solidFill>
              <a:latin typeface="Calibri"/>
            </a:defRPr>
          </a:lvl8pPr>
          <a:lvl9pPr marL="3657600" indent="0">
            <a:defRPr sz="1100">
              <a:solidFill>
                <a:sysClr val="window" lastClr="FFFFFF"/>
              </a:solidFill>
              <a:latin typeface="Calibri"/>
            </a:defRPr>
          </a:lvl9pPr>
        </a:lstStyle>
        <a:p xmlns:a="http://schemas.openxmlformats.org/drawingml/2006/main">
          <a:r>
            <a:rPr lang="ru-RU" sz="1000">
              <a:solidFill>
                <a:sysClr val="windowText" lastClr="000000"/>
              </a:solidFill>
            </a:rPr>
            <a:t>МБ  328,6</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120A6B-26AE-4071-97AC-64BA11599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13</Pages>
  <Words>2980</Words>
  <Characters>16986</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19927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Богданова А.С.</dc:creator>
  <cp:lastModifiedBy>Зарипова Г.Н.</cp:lastModifiedBy>
  <cp:revision>55</cp:revision>
  <cp:lastPrinted>2020-05-21T14:54:00Z</cp:lastPrinted>
  <dcterms:created xsi:type="dcterms:W3CDTF">2021-05-20T16:49:00Z</dcterms:created>
  <dcterms:modified xsi:type="dcterms:W3CDTF">2021-05-25T09:04:00Z</dcterms:modified>
</cp:coreProperties>
</file>